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23.png" ContentType="image/png"/>
  <Override PartName="/word/media/rId37.png" ContentType="image/png"/>
  <Override PartName="/word/media/rId48.png" ContentType="image/png"/>
  <Override PartName="/word/media/rId81.png" ContentType="image/png"/>
  <Override PartName="/word/media/rId31.png" ContentType="image/png"/>
  <Override PartName="/word/media/rId90.png" ContentType="image/png"/>
  <Override PartName="/word/media/rId85.png" ContentType="image/png"/>
  <Override PartName="/word/media/rId60.png" ContentType="image/png"/>
  <Override PartName="/word/media/rId54.png" ContentType="image/png"/>
  <Override PartName="/word/media/rId70.png" ContentType="image/png"/>
  <Override PartName="/word/media/rId66.png" ContentType="image/png"/>
  <Override PartName="/word/media/rId75.png" ContentType="image/png"/>
  <Override PartName="/word/media/rId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Mind the Gap: How Autistic Pedestrians Interact with Autonomous Vehicles</w:t>
      </w:r>
    </w:p>
    <w:p>
      <w:pPr>
        <w:pStyle w:val="Date"/>
      </w:pPr>
      <w:r>
        <w:t xml:space="preserve">2025-05-23</w:t>
      </w:r>
    </w:p>
    <w:p>
      <w:pPr>
        <w:pStyle w:val="AbstractTitle"/>
      </w:pPr>
      <w:r>
        <w:t xml:space="preserve">Abstract</w:t>
      </w:r>
    </w:p>
    <w:p>
      <w:pPr>
        <w:pStyle w:val="Abstract"/>
      </w:pPr>
      <w:r>
        <w:t xml:space="preserve">The rise of autonomous vehicles (AVs) necessitates a deeper understanding of how diverse populations, particularly those with atypical cognitive profiles, perceive and interact with these systems. This study assessed behavioral, physiological, and neural differences between autistic (ASD) and neurotypical (NT) adults during a 3D simulated road-crossing task involving AVs. Using fNIRS, eye-tracking, and pupillometry, we examined how participants interpreted dynamic AV behavior under three conditions: constant, decreasing, and increasing physical crossing opportunities. Autistic participants showed delayed crossing initiation and higher collision risk, despite similar crossing durations. Gaze patterns were condition-dependent but not group-dependent, and pupil dilation indicated lower baseline arousal in ASD, with a specific increase under dynamic uncertainty. fNIRS revealed decreased frontal activation but elevated temporal and parietal activation in ASD, with significant group divergences in HbO time courses emerging before crossing onset under the VarPlus condition. These comparative findings suggest distinct cognitive processing when interpreting AV behavior in crossing senarios. This study underscores the need for inclusive urban mobility design and highlights potential avenues for tailoring AV communication to accommodate neurodiversity.</w:t>
      </w:r>
    </w:p>
    <w:bookmarkStart w:id="20" w:name="introduction"/>
    <w:p>
      <w:pPr>
        <w:pStyle w:val="Heading1"/>
      </w:pPr>
      <w:r>
        <w:t xml:space="preserve">1. Introduction</w:t>
      </w:r>
    </w:p>
    <w:p>
      <w:pPr>
        <w:pStyle w:val="FirstParagraph"/>
      </w:pPr>
      <w:r>
        <w:t xml:space="preserve">According to the World Health Organization’s global report on road safety, 1.19 million people died from road traffic incidents worldwide in 2021, with pedestrians accounting for 23% of these fatalities</w:t>
      </w:r>
      <w:r>
        <w:t xml:space="preserve"> </w:t>
      </w:r>
      <w:r>
        <w:t xml:space="preserve">(</w:t>
      </w:r>
      <w:r>
        <w:rPr>
          <w:i/>
          <w:iCs/>
        </w:rPr>
        <w:t xml:space="preserve">Global Status Report on Road Safety 2023</w:t>
      </w:r>
      <w:r>
        <w:t xml:space="preserve"> </w:t>
      </w:r>
      <w:r>
        <w:t xml:space="preserve">2023)</w:t>
      </w:r>
      <w:r>
        <w:t xml:space="preserve">. Pedestrian vulnerability is particularly pronounced among individuals with disabilities, including those with non-visible cognitive or sensory conditions such as autism spectrum disorder (ASD)</w:t>
      </w:r>
      <w:r>
        <w:t xml:space="preserve"> </w:t>
      </w:r>
      <w:r>
        <w:t xml:space="preserve">(Xiang et al. 2006; Organization 2019; Schwartz et al. 2022)</w:t>
      </w:r>
      <w:r>
        <w:t xml:space="preserve">. While human drivers may yield to individuals displaying visible disabilities—such as those carrying white canes to indicate visual impairment</w:t>
      </w:r>
      <w:r>
        <w:t xml:space="preserve"> </w:t>
      </w:r>
      <w:r>
        <w:t xml:space="preserve">(Andrew Harrell 1992; Guth et al. 2005)</w:t>
      </w:r>
      <w:r>
        <w:t xml:space="preserve">—those with invisible disabilities, like ASD, often face greater challenges and risks due to the absence of externally observable cues</w:t>
      </w:r>
      <w:r>
        <w:t xml:space="preserve"> </w:t>
      </w:r>
      <w:r>
        <w:t xml:space="preserve">(</w:t>
      </w:r>
      <w:r>
        <w:t xml:space="preserve">“Going Our Own Way: Public Transit Accessibility for Neurodivergent People”</w:t>
      </w:r>
      <w:r>
        <w:t xml:space="preserve"> </w:t>
      </w:r>
      <w:r>
        <w:t xml:space="preserve">2023)</w:t>
      </w:r>
      <w:r>
        <w:t xml:space="preserve">.</w:t>
      </w:r>
    </w:p>
    <w:p>
      <w:pPr>
        <w:pStyle w:val="BodyText"/>
      </w:pPr>
      <w:r>
        <w:t xml:space="preserve">ASD is a lifelong neurodevelopmental condition characterized by difficulties in social communication and interaction, as well as sensory sensitivities and restricted behaviors</w:t>
      </w:r>
      <w:r>
        <w:t xml:space="preserve"> </w:t>
      </w:r>
      <w:r>
        <w:t xml:space="preserve">(</w:t>
      </w:r>
      <w:r>
        <w:rPr>
          <w:i/>
          <w:iCs/>
        </w:rPr>
        <w:t xml:space="preserve">Diagnostic and Statistical Manual of Mental Disorders: DSM-5</w:t>
      </w:r>
      <w:r>
        <w:t xml:space="preserve"> </w:t>
      </w:r>
      <w:r>
        <w:t xml:space="preserve">2013; Lord et al. 2018)</w:t>
      </w:r>
      <w:r>
        <w:t xml:space="preserve">. Its prevalence has sharply increased, with current estimates suggesting that at least 1 in 100 children globally are diagnosed with autism</w:t>
      </w:r>
      <w:r>
        <w:t xml:space="preserve"> </w:t>
      </w:r>
      <w:r>
        <w:t xml:space="preserve">(Zeidan et al. 2022; Talantseva et al. 2023)</w:t>
      </w:r>
      <w:r>
        <w:t xml:space="preserve">. Despite a growing body of research, studies on autistic individuals in traffic contexts have mainly focused on driving behavior</w:t>
      </w:r>
      <w:r>
        <w:t xml:space="preserve"> </w:t>
      </w:r>
      <w:r>
        <w:t xml:space="preserve">(D. Y. Chee et al. 2017; D. Y. T. Chee et al. 2019)</w:t>
      </w:r>
      <w:r>
        <w:t xml:space="preserve">, leaving a gap in understanding their behavior as pedestrians—a particularly vulnerable road user group</w:t>
      </w:r>
      <w:r>
        <w:t xml:space="preserve"> </w:t>
      </w:r>
      <w:r>
        <w:t xml:space="preserve">(Earl et al. 2016; Earl et al. 2018; Wilmut and Purcell 2021)</w:t>
      </w:r>
      <w:r>
        <w:t xml:space="preserve">.</w:t>
      </w:r>
    </w:p>
    <w:p>
      <w:pPr>
        <w:pStyle w:val="BodyText"/>
      </w:pPr>
      <w:r>
        <w:t xml:space="preserve">Pedestrian interactions, especially at unsignalized crossings, heavily rely on non-verbal communication, including eye contact, body posture, and subtle gestures that help negotiate right-of-way</w:t>
      </w:r>
      <w:r>
        <w:t xml:space="preserve"> </w:t>
      </w:r>
      <w:r>
        <w:t xml:space="preserve">(Hamilton-Baillie 2004; Bishop, Biasini, and Stavrinos 2017)</w:t>
      </w:r>
      <w:r>
        <w:t xml:space="preserve">.</w:t>
      </w:r>
    </w:p>
    <w:p>
      <w:pPr>
        <w:pStyle w:val="BodyText"/>
      </w:pPr>
      <w:r>
        <w:t xml:space="preserve">This process, referred to in cognitive literature as theory of mind</w:t>
      </w:r>
      <w:r>
        <w:t xml:space="preserve"> </w:t>
      </w:r>
      <w:r>
        <w:t xml:space="preserve">(Baron-Cohen, Leslie, and Frith 1985)</w:t>
      </w:r>
      <w:r>
        <w:t xml:space="preserve">, intention attribution</w:t>
      </w:r>
      <w:r>
        <w:t xml:space="preserve"> </w:t>
      </w:r>
      <w:r>
        <w:t xml:space="preserve">(Dennett 1971)</w:t>
      </w:r>
      <w:r>
        <w:t xml:space="preserve">, or mentalizing</w:t>
      </w:r>
      <w:r>
        <w:t xml:space="preserve"> </w:t>
      </w:r>
      <w:r>
        <w:t xml:space="preserve">(Frith 2001)</w:t>
      </w:r>
      <w:r>
        <w:t xml:space="preserve">, requires quick and accurate interpretation of another’s intentions.</w:t>
      </w:r>
    </w:p>
    <w:p>
      <w:pPr>
        <w:pStyle w:val="BodyText"/>
      </w:pPr>
      <w:r>
        <w:t xml:space="preserve">The temporoparietal junction (TPJ) is critically involved in such processes</w:t>
      </w:r>
      <w:r>
        <w:t xml:space="preserve"> </w:t>
      </w:r>
      <w:r>
        <w:t xml:space="preserve">(R. Saxe and Kanwisher 2003; Schurz et al. 2014)</w:t>
      </w:r>
      <w:r>
        <w:t xml:space="preserve"> </w:t>
      </w:r>
      <w:r>
        <w:t xml:space="preserve">, and atypical TPJ activity has been repeatedly observed in individuals with ASD</w:t>
      </w:r>
      <w:r>
        <w:t xml:space="preserve"> </w:t>
      </w:r>
      <w:r>
        <w:t xml:space="preserve">(Lombardo et al. 2011; Nijhof et al. 2018)</w:t>
      </w:r>
      <w:r>
        <w:t xml:space="preserve">, potentially impacting their ability to navigate social negotiation in dynamic environments.</w:t>
      </w:r>
    </w:p>
    <w:p>
      <w:pPr>
        <w:pStyle w:val="BodyText"/>
      </w:pPr>
      <w:r>
        <w:t xml:space="preserve">With the rise of autonomous vehicles (AVs), these traditional interaction dynamics are set to change. The AV market is projected to expand to $21 billion by 2035, leading to increasing integration with human road users</w:t>
      </w:r>
      <w:r>
        <w:t xml:space="preserve"> </w:t>
      </w:r>
      <w:r>
        <w:t xml:space="preserve">(Rezwana and Lownes 2024)</w:t>
      </w:r>
      <w:r>
        <w:t xml:space="preserve">. AVs do not communicate via human social cues, potentially reducing ambiguity for those who struggle with traditional social signaling</w:t>
      </w:r>
      <w:r>
        <w:t xml:space="preserve"> </w:t>
      </w:r>
      <w:r>
        <w:t xml:space="preserve">(Wilmut and Purcell 2021; Rezwana and Lownes 2024)</w:t>
      </w:r>
      <w:r>
        <w:t xml:space="preserve">. While typically developing individuals might experience confusion in the absence of human driver cues</w:t>
      </w:r>
      <w:r>
        <w:t xml:space="preserve"> </w:t>
      </w:r>
      <w:r>
        <w:t xml:space="preserve">(Van Brummelen et al. 2018)</w:t>
      </w:r>
      <w:r>
        <w:t xml:space="preserve">, individuals with ASD may benefit from the structured, rule-based behavior of AVs. Autistic drivers, for example, have been shown to outperform NT counterparts in tasks that rely on consistency and predictability</w:t>
      </w:r>
      <w:r>
        <w:t xml:space="preserve"> </w:t>
      </w:r>
      <w:r>
        <w:t xml:space="preserve">(D. Y. Chee et al. 2017)</w:t>
      </w:r>
      <w:r>
        <w:t xml:space="preserve">.</w:t>
      </w:r>
    </w:p>
    <w:p>
      <w:pPr>
        <w:pStyle w:val="BodyText"/>
      </w:pPr>
      <w:r>
        <w:t xml:space="preserve">This opens the possibility that autistic pedestrians may also be better attuned to inferring intent from the motion kinematics of AVs—such as changes in speed or trajectory—rather than social cues</w:t>
      </w:r>
      <w:r>
        <w:t xml:space="preserve"> </w:t>
      </w:r>
      <w:r>
        <w:t xml:space="preserve">(Zach Noonan et al. 2023)</w:t>
      </w:r>
      <w:r>
        <w:t xml:space="preserve">. Research supports the idea that ASD individuals possess a unique affinity for systematic and technological environments, often demonstrating strengths in interaction with robotic agents and predictable digital interfaces</w:t>
      </w:r>
      <w:r>
        <w:t xml:space="preserve"> </w:t>
      </w:r>
      <w:r>
        <w:t xml:space="preserve">(Diehl et al. 2012; Scassellati, Admoni, and Matarić 2012; Dubois-Sage et al. 2024)</w:t>
      </w:r>
      <w:r>
        <w:t xml:space="preserve">.</w:t>
      </w:r>
    </w:p>
    <w:p>
      <w:pPr>
        <w:pStyle w:val="BodyText"/>
      </w:pPr>
      <w:r>
        <w:t xml:space="preserve">These capabilities may reflect a different but equally valid form of</w:t>
      </w:r>
      <w:r>
        <w:t xml:space="preserve"> </w:t>
      </w:r>
      <w:r>
        <w:t xml:space="preserve">‘machine theory of mind’</w:t>
      </w:r>
      <w:r>
        <w:t xml:space="preserve"> </w:t>
      </w:r>
      <w:r>
        <w:t xml:space="preserve">(P. Pantelis et al. 2011; P. C. Pantelis et al. 2014)</w:t>
      </w:r>
      <w:r>
        <w:t xml:space="preserve">, where ASD individuals excel in interpreting motion-based social cues rather than anthropomorphic ones. In fact, ASD participants have been shown to respond more accurately to robot-initiated actions than human ones in imitation tasks</w:t>
      </w:r>
      <w:r>
        <w:t xml:space="preserve"> </w:t>
      </w:r>
      <w:r>
        <w:t xml:space="preserve">(Pierno et al. 2008)</w:t>
      </w:r>
      <w:r>
        <w:t xml:space="preserve">. This suggests that AVs, as predictable and less ambiguous agents, may offer a communication context that aligns more closely with autistic cognition.</w:t>
      </w:r>
    </w:p>
    <w:p>
      <w:pPr>
        <w:pStyle w:val="BodyText"/>
      </w:pPr>
      <w:r>
        <w:t xml:space="preserve">Given the increasing integration of AVs into public infrastructure, it becomes essential to understand how neurodiverse individuals interpret AV behavior. While current AV design often incorporates social or symbolic cues to improve human comprehension</w:t>
      </w:r>
      <w:r>
        <w:t xml:space="preserve"> </w:t>
      </w:r>
      <w:r>
        <w:t xml:space="preserve">(Driggs-Campbell and Bajcsy 2016)</w:t>
      </w:r>
      <w:r>
        <w:t xml:space="preserve">, few studies consider how such signals are</w:t>
      </w:r>
      <w:r>
        <w:t xml:space="preserve"> </w:t>
      </w:r>
      <w:r>
        <w:rPr>
          <w:b/>
          <w:bCs/>
        </w:rPr>
        <w:t xml:space="preserve">processed</w:t>
      </w:r>
      <w:r>
        <w:t xml:space="preserve"> </w:t>
      </w:r>
      <w:r>
        <w:t xml:space="preserve">differently across populations. This study addresses that gap by investigating behavioral, physiological, and neural responses of autistic and neurotypical adults as they interact with AVs in a simulated road-crossing scenario.</w:t>
      </w:r>
    </w:p>
    <w:p>
      <w:pPr>
        <w:pStyle w:val="BodyText"/>
      </w:pPr>
      <w:r>
        <w:t xml:space="preserve">To achieve ecological validity and capture multimodal signals, we employed functional near-infrared spectroscopy (fNIRS)</w:t>
      </w:r>
      <w:r>
        <w:t xml:space="preserve"> </w:t>
      </w:r>
      <w:r>
        <w:t xml:space="preserve">(Villringer and Chance 1997)</w:t>
      </w:r>
      <w:r>
        <w:t xml:space="preserve">, eye-tracking, and pupillometry. fNIRS has proven effective in detecting social brain responses in ASD individuals</w:t>
      </w:r>
      <w:r>
        <w:t xml:space="preserve"> </w:t>
      </w:r>
      <w:r>
        <w:t xml:space="preserve">(Liu et al. 2019; Zhang and Roeyers 2019)</w:t>
      </w:r>
      <w:r>
        <w:t xml:space="preserve">, and its portability makes it ideal for mobility studies involving real-time interaction in simulated or naturalistic environments.</w:t>
      </w:r>
    </w:p>
    <w:p>
      <w:pPr>
        <w:pStyle w:val="BodyText"/>
      </w:pPr>
      <w:r>
        <w:t xml:space="preserve">By examining how participants respond to AV behavior across different traffic conditions, we aim to advance our understanding of neurodiverse pedestrian safety and inform the design of more inclusive AV systems.</w:t>
      </w:r>
    </w:p>
    <w:bookmarkEnd w:id="20"/>
    <w:bookmarkStart w:id="42" w:name="methods"/>
    <w:p>
      <w:pPr>
        <w:pStyle w:val="Heading1"/>
      </w:pPr>
      <w:r>
        <w:t xml:space="preserve">2. Methods</w:t>
      </w:r>
    </w:p>
    <w:bookmarkStart w:id="22" w:name="participants"/>
    <w:p>
      <w:pPr>
        <w:pStyle w:val="Heading2"/>
      </w:pPr>
      <w:r>
        <w:t xml:space="preserve">2.1 Participants</w:t>
      </w:r>
    </w:p>
    <w:p>
      <w:pPr>
        <w:pStyle w:val="FirstParagraph"/>
      </w:pPr>
      <w:r>
        <w:t xml:space="preserve">A total of 53 participants took part in the study, including 12 adults with autism spectrum disorder (ASD group) and 41 neurotypical adults (NT group). All participants had normal or corrected-to-normal vision and provided informed written consent prior to participation. The study was approved by the ethics committee of the Université de Lyon.</w:t>
      </w:r>
    </w:p>
    <w:p>
      <w:pPr>
        <w:pStyle w:val="BodyText"/>
      </w:pPr>
      <w:r>
        <w:t xml:space="preserve">Participants in the ASD group (9 females, 3 males; mean age = 37.6 years, SD = 14.2) were recruited through autism-related communities and forums. All individuals self-identified as autistic and reported having received a formal diagnosis of autism spectrum disorder (ASD) from a healthcare professional, with no history of attention deficit with or without hyperactivity (ADHD). While clinical documentation was not independently verified, participants’ autistic characteristics were further assessed using the Aspie Quiz (</w:t>
      </w:r>
      <w:hyperlink r:id="rId21">
        <w:r>
          <w:rPr>
            <w:rStyle w:val="Hyperlink"/>
          </w:rPr>
          <w:t xml:space="preserve">https://rdos.net/fr/</w:t>
        </w:r>
      </w:hyperlink>
      <w:r>
        <w:t xml:space="preserve">), a widely used self-report instrument designed to profile neurodivergent and neurotypical traits. The questionnaire provides separate scores for autistic and neurotypical dimensions (range: 0–200). All included participants showed high neurodivergent scores (mean = 136, SD = 20.4) and low neurotypical scores (mean = 67.4, SD = 21.9), in line with typical profiles observed in diagnosed autistic populations</w:t>
      </w:r>
      <w:r>
        <w:t xml:space="preserve"> </w:t>
      </w:r>
      <w:r>
        <w:t xml:space="preserve">(Ekblad 2013)</w:t>
      </w:r>
      <w:r>
        <w:t xml:space="preserve">.</w:t>
      </w:r>
    </w:p>
    <w:p>
      <w:pPr>
        <w:pStyle w:val="BodyText"/>
      </w:pPr>
      <w:r>
        <w:t xml:space="preserve">Participants in the NT group (31 females, 10 males; mean age = 20.6 years, SD = 1.6) were undergraduate students recruited from the Université de Lyon. Although no autism-specific screening instrument was administered to this group, participants reported no history of developmental or psychiatric disorders.</w:t>
      </w:r>
    </w:p>
    <w:bookmarkEnd w:id="22"/>
    <w:bookmarkStart w:id="35" w:name="apparatus-and-procedure"/>
    <w:p>
      <w:pPr>
        <w:pStyle w:val="Heading2"/>
      </w:pPr>
      <w:r>
        <w:t xml:space="preserve">2.2 Apparatus and Procedure</w:t>
      </w:r>
    </w:p>
    <w:p>
      <w:pPr>
        <w:pStyle w:val="FirstParagraph"/>
      </w:pPr>
      <w:r>
        <w:t xml:space="preserve">Participants performed a road-crossing task in a virtual 3D pedestrian simulator presented on a PC, using a Gamepad for realistic movement control, being able to move and view in limited range (see</w:t>
      </w:r>
      <w:r>
        <w:t xml:space="preserve"> </w:t>
      </w:r>
      <w:hyperlink w:anchor="fig-controls">
        <w:r>
          <w:rPr>
            <w:rStyle w:val="Hyperlink"/>
          </w:rPr>
          <w:t xml:space="preserve">Figure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6" w:name="fig-controls"/>
          <w:p>
            <w:pPr>
              <w:pStyle w:val="Compact"/>
              <w:jc w:val="center"/>
            </w:pPr>
            <w:r>
              <w:drawing>
                <wp:inline>
                  <wp:extent cx="5334000" cy="2807664"/>
                  <wp:effectExtent b="0" l="0" r="0" t="0"/>
                  <wp:docPr descr="" title="" id="24" name="Picture"/>
                  <a:graphic>
                    <a:graphicData uri="http://schemas.openxmlformats.org/drawingml/2006/picture">
                      <pic:pic>
                        <pic:nvPicPr>
                          <pic:cNvPr descr="images/CleanShot%202025-05-04%20at%2012.22.59@2x-02.png" id="25" name="Picture"/>
                          <pic:cNvPicPr>
                            <a:picLocks noChangeArrowheads="1" noChangeAspect="1"/>
                          </pic:cNvPicPr>
                        </pic:nvPicPr>
                        <pic:blipFill>
                          <a:blip r:embed="rId23"/>
                          <a:stretch>
                            <a:fillRect/>
                          </a:stretch>
                        </pic:blipFill>
                        <pic:spPr bwMode="auto">
                          <a:xfrm>
                            <a:off x="0" y="0"/>
                            <a:ext cx="5334000" cy="28076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Participants’ Control and Virtual Environment Setup. Participants navigated the road-crossing simulation as pedestrian avatars using a PS5 DualSense controller. The virtual environment was presented on a 27-inch screen (1920×1080 resolution) positioned approximately 1 meter in front of the participant. The pedestrian’s field of view was constrained to 60° to minimize visual distortion. The controller allowed for intuitive control of the avatar in two primary dimensions: View Control: The left joystick enabled lateral head movements (left or right), allowing participants to visually scan approaching traffic before deciding to cross. Movement Control: The right joystick controlled forward and backward locomotion across the road. Movement speed was continuous and responsive to the degree of joystick tilt, ranging from 3 km/h (minimal tilt) to a maximum of 6 km/h (full tilt). Releasing the joystick immediately halted movement, allowing participants to regulate both the starting time and duration of their crossings with precision. The simulated environment featured a minimalist rural road scenario designed to eliminate unnecessary visual distractions. The road was a one-way, single-lane route measuring approximately 200 meters in length and 5 meters in width. All vehicles were uniform in size and appearance.</w:t>
            </w:r>
          </w:p>
          <w:bookmarkEnd w:id="26"/>
        </w:tc>
      </w:tr>
    </w:tbl>
    <w:p>
      <w:pPr>
        <w:pStyle w:val="BodyText"/>
      </w:pPr>
      <w:r>
        <w:t xml:space="preserve">This task was designed to investigate participants’ behavioral strategies and physiological responses during interactions with autonomous vehicles (AVs). The experimental environment consisted of a gently curved road, providing a clear line-of-sight for participants, along which virtual AVs approached continuously. Traffic scenarios were presented in three distinct experimental conditions, each differing systematically in how the available physical crossing gap evolved over time, while maintaining an identical temporal crossing window of 3 seconds at the crossing point (illustrated in</w:t>
      </w:r>
      <w:r>
        <w:t xml:space="preserve"> </w:t>
      </w:r>
      <w:hyperlink w:anchor="fig-4conditions">
        <w:r>
          <w:rPr>
            <w:rStyle w:val="Hyperlink"/>
          </w:rPr>
          <w:t xml:space="preserve">Figure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0" w:name="fig-4conditions"/>
          <w:p>
            <w:pPr>
              <w:pStyle w:val="Compact"/>
              <w:jc w:val="center"/>
            </w:pPr>
            <w:r>
              <w:drawing>
                <wp:inline>
                  <wp:extent cx="5334000" cy="4044797"/>
                  <wp:effectExtent b="0" l="0" r="0" t="0"/>
                  <wp:docPr descr="" title="" id="28" name="Picture"/>
                  <a:graphic>
                    <a:graphicData uri="http://schemas.openxmlformats.org/drawingml/2006/picture">
                      <pic:pic>
                        <pic:nvPicPr>
                          <pic:cNvPr descr="images/CleanShot%202025-05-04%20at%2011.48.53@2x.png" id="29" name="Picture"/>
                          <pic:cNvPicPr>
                            <a:picLocks noChangeArrowheads="1" noChangeAspect="1"/>
                          </pic:cNvPicPr>
                        </pic:nvPicPr>
                        <pic:blipFill>
                          <a:blip r:embed="rId27"/>
                          <a:stretch>
                            <a:fillRect/>
                          </a:stretch>
                        </pic:blipFill>
                        <pic:spPr bwMode="auto">
                          <a:xfrm>
                            <a:off x="0" y="0"/>
                            <a:ext cx="5334000" cy="404479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Illustration of the four traffic conditions. 1) Baseline: A single vehicle approaches the pedestrian crossing at a constant speed of 30 km/h, with no other vehicles present. This condition served as a physiological baseline for fNIRS recordings. 2) Const: Four groups of vehicles (each composed of three cars) approach at a uniform speed of 30 km/h. The inter-group gaps are temporally and physically consistent, resulting in stable crossing opportunities. 3) VarMinus: Vehicles are organized into four groups, with each successive group traveling faster than the previous one—30, 40, 50, and 60 km/h, respectively. This acceleration pattern leads to progressively shorter physical gaps between the groups, while maintaining a constant temporal gap (3s) at the crossing point. 4) VarPlus: All four vehicle groups initially travel at 60 km/h. The first group maintains this speed throughout. The second group decelerates to 50 km/h over 3 seconds and then maintains that speed. The third group slows further, from 60→50→40 km/h in two 3-second stages. The fourth group continues the same pattern until it reaches 30 km/h. This progressive deceleration results in increasingly widened physical gaps over time, despite the temporal gap remaining constant at 3s.</w:t>
            </w:r>
          </w:p>
          <w:bookmarkEnd w:id="30"/>
        </w:tc>
      </w:tr>
    </w:tbl>
    <w:p>
      <w:pPr>
        <w:pStyle w:val="BodyText"/>
      </w:pPr>
      <w:r>
        <w:t xml:space="preserve">Being explicitly informed that the vehicles were all fully-automated, participants encountered three sequential inter-group gaps (Gap #1 to Gap #3) in each trial, simulating recurring crossing opportunities. They were instructed to cross as soon as possible, reflecting real-world pedestrian decision-making behaviors. However, only those trials in which participants initiated crossing during the first gap (Gap #1) were retained for subsequent analyses. The sequence of traffic conditions was randomized between trials to mitigate potential learning effects or carryover biases.</w:t>
      </w:r>
    </w:p>
    <w:p>
      <w:pPr>
        <w:pStyle w:val="BodyText"/>
      </w:pPr>
      <w:r>
        <w:t xml:space="preserve">Eye-tracking data were captured at a sampling rate of 1000 Hz using an Eyelink Portable Duo eye tracker in remote tracking mode. Recorded metrics included gaze positions, fixation duration, and pupil diameter changes, precisely synchronized with key traffic events (e.g., the onset of the initial inter-group gap).</w:t>
      </w:r>
    </w:p>
    <w:p>
      <w:pPr>
        <w:pStyle w:val="BodyText"/>
      </w:pPr>
      <w:r>
        <w:t xml:space="preserve">Pupillometry has been widely used to assess cognitive load and emotional arousal, making it a suitable tool to examine how traffic conditions translated on participants’ workload in different group. To account for the physiological delay in pupil dilation responses to cognitive load, we applied a 1000 milliseconds offset when extracting pupil size data relative to the onset of crossing decision-making. A 0.5s baseline sliding window was used for normalization.</w:t>
      </w:r>
    </w:p>
    <w:p>
      <w:pPr>
        <w:pStyle w:val="BodyText"/>
      </w:pPr>
      <w:r>
        <w:t xml:space="preserve">Concurrently, cerebral hemodynamic responses were monitored using a fNIRS system with a 12×10 optode array covering frontal, temporal and parietal cortical regions, sampling at approximately 5.5 Hz (see</w:t>
      </w:r>
      <w:r>
        <w:t xml:space="preserve"> </w:t>
      </w:r>
      <w:hyperlink w:anchor="fig-layout">
        <w:r>
          <w:rPr>
            <w:rStyle w:val="Hyperlink"/>
          </w:rPr>
          <w:t xml:space="preserve">Figure 3</w:t>
        </w:r>
      </w:hyperlink>
      <w:r>
        <w:t xml:space="preserve">). fNIRS signals were acquired using an 26-channel continuous wave fNIRS system (Cortivision Photo Cap C20).</w:t>
      </w:r>
    </w:p>
    <w:p>
      <w:pPr>
        <w:pStyle w:val="BodyText"/>
      </w:pPr>
      <w:r>
        <w:t xml:space="preserve">The placement of fNIRS optodes was determined using a systematic and refined procedure based on an automated meta-analytic approach</w:t>
      </w:r>
      <w:r>
        <w:t xml:space="preserve"> </w:t>
      </w:r>
      <w:r>
        <w:t xml:space="preserve">(Yarkoni et al. 2011)</w:t>
      </w:r>
      <w:r>
        <w:t xml:space="preserve">. Specifically, we conducted an automated meta-analysis via the Neurosynth database, targeting brain regions consistently activated during tasks involving decision-making and Theory of Mind (ToM). Using the</w:t>
      </w:r>
      <w:r>
        <w:t xml:space="preserve"> </w:t>
      </w:r>
      <w:r>
        <w:t xml:space="preserve">“fNIRS Optodes’ Location Decider”</w:t>
      </w:r>
      <w:r>
        <w:t xml:space="preserve"> </w:t>
      </w:r>
      <w:r>
        <w:t xml:space="preserve">(fOLD) toolbox</w:t>
      </w:r>
      <w:r>
        <w:t xml:space="preserve"> </w:t>
      </w:r>
      <w:r>
        <w:t xml:space="preserve">(Zimeo Morais, Balardin, and Sato 2018)</w:t>
      </w:r>
      <w:r>
        <w:t xml:space="preserve">, we mapped these identified activation clusters onto the international 10–10 EEG electrode positioning standard. The epoch was determined as [-5s,30s] with the moment when the first vehicle entered onto the 200m road as the t=0 reference in time course analysis.</w:t>
      </w:r>
    </w:p>
    <w:tbl>
      <w:tblPr>
        <w:tblStyle w:val="Table"/>
        <w:tblW w:type="pct" w:w="5000"/>
        <w:tblLayout w:type="fixed"/>
        <w:tblLook w:firstRow="0" w:lastRow="0" w:firstColumn="0" w:lastColumn="0" w:noHBand="0" w:noVBand="0" w:val="0000"/>
      </w:tblPr>
      <w:tblGrid>
        <w:gridCol w:w="7920"/>
      </w:tblGrid>
      <w:tr>
        <w:tc>
          <w:tcPr/>
          <w:bookmarkStart w:id="34" w:name="fig-layout"/>
          <w:p>
            <w:pPr>
              <w:pStyle w:val="Compact"/>
              <w:jc w:val="center"/>
            </w:pPr>
            <w:r>
              <w:drawing>
                <wp:inline>
                  <wp:extent cx="5334000" cy="4923692"/>
                  <wp:effectExtent b="0" l="0" r="0" t="0"/>
                  <wp:docPr descr="" title="" id="32" name="Picture"/>
                  <a:graphic>
                    <a:graphicData uri="http://schemas.openxmlformats.org/drawingml/2006/picture">
                      <pic:pic>
                        <pic:nvPicPr>
                          <pic:cNvPr descr="images/layout.png" id="33" name="Picture"/>
                          <pic:cNvPicPr>
                            <a:picLocks noChangeArrowheads="1" noChangeAspect="1"/>
                          </pic:cNvPicPr>
                        </pic:nvPicPr>
                        <pic:blipFill>
                          <a:blip r:embed="rId31"/>
                          <a:stretch>
                            <a:fillRect/>
                          </a:stretch>
                        </pic:blipFill>
                        <pic:spPr bwMode="auto">
                          <a:xfrm>
                            <a:off x="0" y="0"/>
                            <a:ext cx="5334000" cy="492369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fNIRS layout consisted of 12 emitters (red) and 10 detectors (purple), forming 4 short channels and 21 measurement channels covering the frontal, temporal, and parietal regions. The optode numbers were color-coded, with channels represented by blue arrows indicating connections from source to receptor optodes.</w:t>
            </w:r>
          </w:p>
          <w:bookmarkEnd w:id="34"/>
        </w:tc>
      </w:tr>
    </w:tbl>
    <w:p>
      <w:pPr>
        <w:pStyle w:val="BodyText"/>
      </w:pPr>
      <w:r>
        <w:t xml:space="preserve">The simulation environment was developed using Unity 3D, with precise synchronization between the virtual environment, eye-tracking data, and fNIRS recordings achieved via the Lab Streaming Layer (LSL) protocol</w:t>
      </w:r>
      <w:r>
        <w:t xml:space="preserve">(</w:t>
      </w:r>
      <w:r>
        <w:t xml:space="preserve">“LabStreamingLayer</w:t>
      </w:r>
      <w:r>
        <w:t xml:space="preserve">’</w:t>
      </w:r>
      <w:r>
        <w:t xml:space="preserve">s Documentation</w:t>
      </w:r>
      <w:r>
        <w:t xml:space="preserve"> </w:t>
      </w:r>
      <w:r>
        <w:t xml:space="preserve"> </w:t>
      </w:r>
      <w:r>
        <w:t xml:space="preserve">Labstreaminglayer 1.13 Documentation,”</w:t>
      </w:r>
      <w:r>
        <w:t xml:space="preserve"> </w:t>
      </w:r>
      <w:r>
        <w:t xml:space="preserve">n.d.)</w:t>
      </w:r>
      <w:r>
        <w:t xml:space="preserve">. Prior to experimental trials, each participant underwent individual calibrations for both eye-tracking and fNIRS systems, followed by a brief familiarization phase for vibration feedback if collision happens. The entire experimental session, including calibration, data collection, and participant debriefing, lasted approximately 45 minutes. Each participants went through 6 trials per conditions, resulting in 24 trials per participant.</w:t>
      </w:r>
    </w:p>
    <w:bookmarkEnd w:id="35"/>
    <w:bookmarkStart w:id="36" w:name="measures"/>
    <w:p>
      <w:pPr>
        <w:pStyle w:val="Heading2"/>
      </w:pPr>
      <w:r>
        <w:t xml:space="preserve">2.3 Measures</w:t>
      </w:r>
    </w:p>
    <w:p>
      <w:pPr>
        <w:pStyle w:val="FirstParagraph"/>
      </w:pPr>
      <w:hyperlink w:anchor="success-rate">
        <w:r>
          <w:rPr>
            <w:rStyle w:val="Hyperlink"/>
          </w:rPr>
          <w:t xml:space="preserve">3.1.1 Success Rate:</w:t>
        </w:r>
      </w:hyperlink>
      <w:r>
        <w:t xml:space="preserve"> </w:t>
      </w:r>
      <w:r>
        <w:t xml:space="preserve">Binary indicator of collision avoidance in each trial</w:t>
      </w:r>
    </w:p>
    <w:p>
      <w:pPr>
        <w:pStyle w:val="BodyText"/>
      </w:pPr>
      <w:hyperlink w:anchor="crossing-start-time">
        <w:r>
          <w:rPr>
            <w:rStyle w:val="Hyperlink"/>
          </w:rPr>
          <w:t xml:space="preserve">3.1.2 Crossing Start Time:</w:t>
        </w:r>
      </w:hyperlink>
      <w:r>
        <w:t xml:space="preserve"> </w:t>
      </w:r>
      <w:r>
        <w:t xml:space="preserve">Time from trial onset to engaging with potential collision area</w:t>
      </w:r>
    </w:p>
    <w:p>
      <w:pPr>
        <w:pStyle w:val="BodyText"/>
      </w:pPr>
      <w:hyperlink w:anchor="crossing-duration">
        <w:r>
          <w:rPr>
            <w:rStyle w:val="Hyperlink"/>
          </w:rPr>
          <w:t xml:space="preserve">3.1.3 Crossing duration:</w:t>
        </w:r>
      </w:hyperlink>
      <w:r>
        <w:t xml:space="preserve"> </w:t>
      </w:r>
      <w:r>
        <w:t xml:space="preserve">Time spent in crossing</w:t>
      </w:r>
    </w:p>
    <w:p>
      <w:pPr>
        <w:pStyle w:val="BodyText"/>
      </w:pPr>
      <w:hyperlink w:anchor="current-deviation">
        <w:r>
          <w:rPr>
            <w:rStyle w:val="Hyperlink"/>
          </w:rPr>
          <w:t xml:space="preserve">3.1.4 Current Deviation:</w:t>
        </w:r>
      </w:hyperlink>
      <w:r>
        <w:t xml:space="preserve"> </w:t>
      </w:r>
      <w:r>
        <w:t xml:space="preserve">Time difference between pedestrian and gap center trajectories</w:t>
      </w:r>
    </w:p>
    <w:p>
      <w:pPr>
        <w:pStyle w:val="BodyText"/>
      </w:pPr>
      <w:hyperlink w:anchor="pedestrian-crossing-speed">
        <w:r>
          <w:rPr>
            <w:rStyle w:val="Hyperlink"/>
          </w:rPr>
          <w:t xml:space="preserve">3.1.5 Pedestrian Crossing Speed:</w:t>
        </w:r>
      </w:hyperlink>
      <w:r>
        <w:t xml:space="preserve"> </w:t>
      </w:r>
      <w:r>
        <w:t xml:space="preserve">Speed of the pedestrian avatar in meter per second</w:t>
      </w:r>
    </w:p>
    <w:p>
      <w:pPr>
        <w:pStyle w:val="BodyText"/>
      </w:pPr>
      <w:hyperlink w:anchor="temporal-error">
        <w:r>
          <w:rPr>
            <w:rStyle w:val="Hyperlink"/>
          </w:rPr>
          <w:t xml:space="preserve">3.1.6 Temporal Error:</w:t>
        </w:r>
      </w:hyperlink>
      <w:r>
        <w:t xml:space="preserve"> </w:t>
      </w:r>
      <w:r>
        <w:t xml:space="preserve">Temporal offset from ideal crossing moment</w:t>
      </w:r>
    </w:p>
    <w:p>
      <w:pPr>
        <w:pStyle w:val="BodyText"/>
      </w:pPr>
      <w:hyperlink w:anchor="gaze-preference">
        <w:r>
          <w:rPr>
            <w:rStyle w:val="Hyperlink"/>
          </w:rPr>
          <w:t xml:space="preserve">3.2.1 Gaze Preference:</w:t>
        </w:r>
      </w:hyperlink>
      <w:r>
        <w:t xml:space="preserve"> </w:t>
      </w:r>
      <w:r>
        <w:t xml:space="preserve">Standardized gaze position projected between gap-related vehicles</w:t>
      </w:r>
    </w:p>
    <w:p>
      <w:pPr>
        <w:pStyle w:val="BodyText"/>
      </w:pPr>
      <w:hyperlink w:anchor="pupil-dilatation">
        <w:r>
          <w:rPr>
            <w:rStyle w:val="Hyperlink"/>
          </w:rPr>
          <w:t xml:space="preserve">3.2.1 Pupil Dilatation:</w:t>
        </w:r>
      </w:hyperlink>
      <w:r>
        <w:t xml:space="preserve"> </w:t>
      </w:r>
      <w:r>
        <w:t xml:space="preserve">Proxy for autonomic arousal</w:t>
      </w:r>
    </w:p>
    <w:p>
      <w:pPr>
        <w:pStyle w:val="BodyText"/>
      </w:pPr>
      <w:hyperlink w:anchor="channel-level-activation">
        <w:r>
          <w:rPr>
            <w:rStyle w:val="Hyperlink"/>
          </w:rPr>
          <w:t xml:space="preserve">3.3.1 Channel-level activation</w:t>
        </w:r>
      </w:hyperlink>
      <w:r>
        <w:t xml:space="preserve"> </w:t>
      </w:r>
      <w:r>
        <w:t xml:space="preserve">Proxy for cortex activation</w:t>
      </w:r>
    </w:p>
    <w:p>
      <w:pPr>
        <w:pStyle w:val="BodyText"/>
      </w:pPr>
      <w:hyperlink w:anchor="permutation-cluster-test">
        <w:r>
          <w:rPr>
            <w:rStyle w:val="Hyperlink"/>
          </w:rPr>
          <w:t xml:space="preserve">3.3.2. Permutation cluster test</w:t>
        </w:r>
      </w:hyperlink>
      <w:r>
        <w:t xml:space="preserve"> </w:t>
      </w:r>
      <w:r>
        <w:t xml:space="preserve">Activation on time course</w:t>
      </w:r>
    </w:p>
    <w:bookmarkEnd w:id="36"/>
    <w:bookmarkStart w:id="41" w:name="data-analysis"/>
    <w:p>
      <w:pPr>
        <w:pStyle w:val="Heading2"/>
      </w:pPr>
      <w:r>
        <w:t xml:space="preserve">2.4 Data Analysis</w:t>
      </w:r>
    </w:p>
    <w:p>
      <w:pPr>
        <w:pStyle w:val="FirstParagraph"/>
      </w:pPr>
      <w:r>
        <w:t xml:space="preserve">Linear mixed-effects models assessed group and condition effects across behavioral and physiological variables. Eye-tracking data were processed via dynamic dot-product alignment to AVs’ screen positions (see</w:t>
      </w:r>
      <w:r>
        <w:t xml:space="preserve"> </w:t>
      </w:r>
      <w:hyperlink w:anchor="fig-gazePorportion">
        <w:r>
          <w:rPr>
            <w:rStyle w:val="Hyperlink"/>
          </w:rPr>
          <w:t xml:space="preserve">Figure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0" w:name="fig-gazePorportion"/>
          <w:p>
            <w:pPr>
              <w:pStyle w:val="Compact"/>
              <w:jc w:val="center"/>
            </w:pPr>
            <w:r>
              <w:drawing>
                <wp:inline>
                  <wp:extent cx="5334000" cy="2735105"/>
                  <wp:effectExtent b="0" l="0" r="0" t="0"/>
                  <wp:docPr descr="" title="" id="38" name="Picture"/>
                  <a:graphic>
                    <a:graphicData uri="http://schemas.openxmlformats.org/drawingml/2006/picture">
                      <pic:pic>
                        <pic:nvPicPr>
                          <pic:cNvPr descr="images/CleanShot%202025-05-04%20at%2013.12.29@2x.png" id="39" name="Picture"/>
                          <pic:cNvPicPr>
                            <a:picLocks noChangeArrowheads="1" noChangeAspect="1"/>
                          </pic:cNvPicPr>
                        </pic:nvPicPr>
                        <pic:blipFill>
                          <a:blip r:embed="rId37"/>
                          <a:stretch>
                            <a:fillRect/>
                          </a:stretch>
                        </pic:blipFill>
                        <pic:spPr bwMode="auto">
                          <a:xfrm>
                            <a:off x="0" y="0"/>
                            <a:ext cx="5334000" cy="27351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Illustration of the calculation for Gaze Preference. It was computed using a standardized dot product projection along the axis defined by the gap-opening and gap-closing vehicles. Values range beyond the [0, 1] interval: a score of 0 indicates gaze precisely aligned with the gap-opening vehicle (V3), while a score of 1 reflects alignment with the gap-closing vehicle (V1). Intermediate values within [0, 1] indicate gaze directed between the two vehicles. When either vehicle fell outside the visual field, projection endpoints were adjusted accordingly: the origin was set to (0, 0) for missing V3 (left-bottom corner of the screen) and to (0, 0.5) for missing V1 (right edge of the screen).</w:t>
            </w:r>
          </w:p>
          <w:bookmarkEnd w:id="40"/>
        </w:tc>
      </w:tr>
    </w:tbl>
    <w:p>
      <w:pPr>
        <w:pStyle w:val="BodyText"/>
      </w:pPr>
      <w:r>
        <w:t xml:space="preserve">fNIRS data preprocessing was completed using the MNE package in Python. The raw intensity data were first converted to optical density (OD) changes, then underwent TDDR correction</w:t>
      </w:r>
      <w:r>
        <w:t xml:space="preserve"> </w:t>
      </w:r>
      <w:r>
        <w:t xml:space="preserve">(Fishburn et al. 2019)</w:t>
      </w:r>
      <w:r>
        <w:t xml:space="preserve"> </w:t>
      </w:r>
      <w:r>
        <w:t xml:space="preserve">and bandpass filtering (0.01–0.09 Hz) to filter out motion and other physiological artefacts. Finally the OD data were converted to hemodynamic responses (HDR) using the modified Beer-Lambert Law</w:t>
      </w:r>
      <w:r>
        <w:t xml:space="preserve"> </w:t>
      </w:r>
      <w:r>
        <w:t xml:space="preserve">(Kocsis, Herman, and Eke 2006)</w:t>
      </w:r>
      <w:r>
        <w:t xml:space="preserve">. The oxygenated hemoglobin (HbO) data of six trials under Baseline traffic condition were averaged for each participant and then used for steady-state control and normalized by z-score methods to eliminate the effect of data units and facilitate comparison between different traffic conditions. Finally, each channel’s HbO amplitude under the six trials of each participant in the three different traffic conditions (Const, VarMinus, VarPlus) was calculated to compare the effect of conditions and groups (ASD, NT).</w:t>
      </w:r>
    </w:p>
    <w:bookmarkEnd w:id="41"/>
    <w:bookmarkEnd w:id="42"/>
    <w:bookmarkStart w:id="97" w:name="results"/>
    <w:p>
      <w:pPr>
        <w:pStyle w:val="Heading1"/>
      </w:pPr>
      <w:r>
        <w:t xml:space="preserve">3. Results</w:t>
      </w:r>
    </w:p>
    <w:bookmarkStart w:id="65" w:name="behavioral-outcomes"/>
    <w:p>
      <w:pPr>
        <w:pStyle w:val="Heading3"/>
      </w:pPr>
      <w:r>
        <w:t xml:space="preserve">3.1 Behavioral Outcomes</w:t>
      </w:r>
    </w:p>
    <w:bookmarkStart w:id="47" w:name="success-rate"/>
    <w:p>
      <w:pPr>
        <w:pStyle w:val="Heading4"/>
      </w:pPr>
      <w:r>
        <w:t xml:space="preserve">3.1.1 Success Rate:</w:t>
      </w:r>
    </w:p>
    <w:p>
      <w:pPr>
        <w:pStyle w:val="FirstParagraph"/>
      </w:pPr>
      <w:r>
        <w:t xml:space="preserve">A linear mixed-effect model showed that the ASD group demonstrated a significantly higher likelihood of collisions compared to the NT group, as indicated by a positive fixed effect estimate for the group comparison (</w:t>
      </w:r>
      <w:r>
        <w:rPr>
          <w:i/>
          <w:iCs/>
        </w:rPr>
        <w:t xml:space="preserve">β = 0.206, SE = 0.086, t(51) = 2.379, p = .021</w:t>
      </w:r>
      <w:r>
        <w:t xml:space="preserve">).</w:t>
      </w:r>
    </w:p>
    <w:p>
      <w:pPr>
        <w:pStyle w:val="BodyText"/>
      </w:pPr>
      <w:r>
        <w:t xml:space="preserve">Notably, in the VarPlus condition, both groups showed a numerical reduction in risk-taking behaviors such as crossing during intra-group gaps, compared to Const and VarMinus conditions. However, this reduction did not reach statistical significance in either group (</w:t>
      </w:r>
      <w:r>
        <w:rPr>
          <w:i/>
          <w:iCs/>
        </w:rPr>
        <w:t xml:space="preserve">ASD: z = -1.29, p = .20; NT: z = -0.99, p = .32</w:t>
      </w:r>
      <w:r>
        <w:t xml:space="preserve">), suggesting a trend toward more cautious behavior in the presence of physically expanding crossing gaps.</w:t>
      </w:r>
    </w:p>
    <w:tbl>
      <w:tblPr>
        <w:tblStyle w:val="Table"/>
        <w:tblW w:type="pct" w:w="5000"/>
        <w:tblLayout w:type="fixed"/>
        <w:tblLook w:firstRow="0" w:lastRow="0" w:firstColumn="0" w:lastColumn="0" w:noHBand="0" w:noVBand="0" w:val="0000"/>
      </w:tblPr>
      <w:tblGrid>
        <w:gridCol w:w="7920"/>
      </w:tblGrid>
      <w:tr>
        <w:tc>
          <w:tcPr/>
          <w:bookmarkStart w:id="46" w:name="fig-success-rate"/>
          <w:p>
            <w:pPr>
              <w:pStyle w:val="Compact"/>
              <w:jc w:val="center"/>
            </w:pPr>
            <w:r>
              <w:drawing>
                <wp:inline>
                  <wp:extent cx="5334000" cy="3333749"/>
                  <wp:effectExtent b="0" l="0" r="0" t="0"/>
                  <wp:docPr descr="" title="" id="44" name="Picture"/>
                  <a:graphic>
                    <a:graphicData uri="http://schemas.openxmlformats.org/drawingml/2006/picture">
                      <pic:pic>
                        <pic:nvPicPr>
                          <pic:cNvPr descr="notebooks/fig-success_rate.png" id="45" name="Picture"/>
                          <pic:cNvPicPr>
                            <a:picLocks noChangeArrowheads="1" noChangeAspect="1"/>
                          </pic:cNvPicPr>
                        </pic:nvPicPr>
                        <pic:blipFill>
                          <a:blip r:embed="rId43"/>
                          <a:stretch>
                            <a:fillRect/>
                          </a:stretch>
                        </pic:blipFill>
                        <pic:spPr bwMode="auto">
                          <a:xfrm>
                            <a:off x="0" y="0"/>
                            <a:ext cx="5334000" cy="33337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Success rate breakdown by Group and Condition. Each panel displays one condition. Within each panel, each bar displays one group. The bars represent the proportion of trial outcomes across each Group × Condition combination, the full bar height corresponds to 100% of the trials in the given Group × Condition combination. Trials were categorized into three mutually exclusive outcomes: Successful crossings (green), Failed attempts at inter-group gaps (blue), and Failed attempts at intra-group gaps (red). Inter-group gap failures reflect unsuccessful yet strategically appropriate decisions, whereas intra-group gap failures suggest riskier decision-making patterns.</w:t>
            </w:r>
          </w:p>
          <w:bookmarkEnd w:id="46"/>
        </w:tc>
      </w:tr>
    </w:tbl>
    <w:bookmarkEnd w:id="47"/>
    <w:bookmarkStart w:id="52" w:name="crossing-start-time"/>
    <w:p>
      <w:pPr>
        <w:pStyle w:val="Heading4"/>
      </w:pPr>
      <w:r>
        <w:t xml:space="preserve">3.1.2 Crossing Start Time:</w:t>
      </w:r>
    </w:p>
    <w:p>
      <w:pPr>
        <w:pStyle w:val="FirstParagraph"/>
      </w:pPr>
      <w:r>
        <w:t xml:space="preserve">We examined the effects of traffic condition and group on pedestrian crossing start time using a two-way mixed-design ANOVA with Condition as a within-subjects factor and Group as a between-subjects factor.</w:t>
      </w:r>
    </w:p>
    <w:p>
      <w:pPr>
        <w:pStyle w:val="BodyText"/>
      </w:pPr>
      <w:r>
        <w:t xml:space="preserve">Crossing start time revealed a significant main effect on Condition (</w:t>
      </w:r>
      <w:r>
        <w:rPr>
          <w:i/>
          <w:iCs/>
        </w:rPr>
        <w:t xml:space="preserve">F(2,96) = 9085.91, p &lt; .001, ηp2=.995)</w:t>
      </w:r>
      <w:r>
        <w:t xml:space="preserve">, indicating that crossing decisions varied strongly across traffic conditions. Post-hoc tests on Condition showed that the difference majorly came from VarPlus (see</w:t>
      </w:r>
      <w:r>
        <w:t xml:space="preserve"> </w:t>
      </w:r>
      <w:hyperlink w:anchor="fig-varpost">
        <w:r>
          <w:rPr>
            <w:rStyle w:val="Hyperlink"/>
          </w:rPr>
          <w:t xml:space="preserve">Figure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1" w:name="fig-varpost"/>
          <w:p>
            <w:pPr>
              <w:pStyle w:val="Compact"/>
              <w:jc w:val="center"/>
            </w:pPr>
            <w:r>
              <w:drawing>
                <wp:inline>
                  <wp:extent cx="5334000" cy="1214510"/>
                  <wp:effectExtent b="0" l="0" r="0" t="0"/>
                  <wp:docPr descr="" title="" id="49" name="Picture"/>
                  <a:graphic>
                    <a:graphicData uri="http://schemas.openxmlformats.org/drawingml/2006/picture">
                      <pic:pic>
                        <pic:nvPicPr>
                          <pic:cNvPr descr="images/CleanShot%202025-05-04%20at%2015.34.22@2x-01.png" id="50" name="Picture"/>
                          <pic:cNvPicPr>
                            <a:picLocks noChangeArrowheads="1" noChangeAspect="1"/>
                          </pic:cNvPicPr>
                        </pic:nvPicPr>
                        <pic:blipFill>
                          <a:blip r:embed="rId48"/>
                          <a:stretch>
                            <a:fillRect/>
                          </a:stretch>
                        </pic:blipFill>
                        <pic:spPr bwMode="auto">
                          <a:xfrm>
                            <a:off x="0" y="0"/>
                            <a:ext cx="5334000" cy="12145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Post-hoc comparisons following the significant main effect of Condition on Crossing Start Time revealed that the VarPlus condition significantly differed from both the Const and VarMinus conditions (ps &lt; .001). Specifically, participants in both the ASD and NT groups initiated crossing earlier under the VarPlus condition compared to the other two conditions. No significant difference was observed between the Const and VarMinus conditions (p &gt; .05). These findings suggest that the increasing physical crossing opportunity in the VarPlus condition—despite identical temporal crossing opportunities across all conditions—promoted earlier initiation of crossing behavior.</w:t>
            </w:r>
          </w:p>
          <w:bookmarkEnd w:id="51"/>
        </w:tc>
      </w:tr>
    </w:tbl>
    <w:p>
      <w:pPr>
        <w:pStyle w:val="BodyText"/>
      </w:pPr>
      <w:r>
        <w:t xml:space="preserve">The Group effect was also significant (</w:t>
      </w:r>
      <w:r>
        <w:rPr>
          <w:i/>
          <w:iCs/>
        </w:rPr>
        <w:t xml:space="preserve">F(1,48) = 5.997, p = .018, ηp2​ = .111)</w:t>
      </w:r>
      <w:r>
        <w:t xml:space="preserve">, showing that overall, ASD participants started to cross later than NT participants across conditions.</w:t>
      </w:r>
    </w:p>
    <w:p>
      <w:pPr>
        <w:pStyle w:val="BodyText"/>
      </w:pPr>
      <w:r>
        <w:t xml:space="preserve">To evaluate potential group differences in motor execution during the road-crossing task, we analyzed also the Crossing duration that participants spent within the potential collision zone—the centered area in crossing, superposed with the trajectory of the approaching vehicles.</w:t>
      </w:r>
    </w:p>
    <w:bookmarkEnd w:id="52"/>
    <w:bookmarkStart w:id="53" w:name="crossing-duration"/>
    <w:p>
      <w:pPr>
        <w:pStyle w:val="Heading4"/>
      </w:pPr>
      <w:r>
        <w:t xml:space="preserve">3.1.3 Crossing Duration:</w:t>
      </w:r>
    </w:p>
    <w:p>
      <w:pPr>
        <w:pStyle w:val="FirstParagraph"/>
      </w:pPr>
      <w:r>
        <w:t xml:space="preserve">Notably, we found no significant group differences in crossing duration</w:t>
      </w:r>
      <w:r>
        <w:t xml:space="preserve"> </w:t>
      </w:r>
      <w:r>
        <w:rPr>
          <w:i/>
          <w:iCs/>
        </w:rPr>
        <w:t xml:space="preserve">(F(1, 669) = 0, p = .99</w:t>
      </w:r>
      <w:r>
        <w:t xml:space="preserve">), suggesting intact motor execution in ASD group, once started crossing.</w:t>
      </w:r>
    </w:p>
    <w:bookmarkEnd w:id="53"/>
    <w:bookmarkStart w:id="58" w:name="current-deviation"/>
    <w:p>
      <w:pPr>
        <w:pStyle w:val="Heading4"/>
      </w:pPr>
      <w:r>
        <w:t xml:space="preserve">3.1.4 Current Deviation:</w:t>
      </w:r>
    </w:p>
    <w:p>
      <w:pPr>
        <w:pStyle w:val="FirstParagraph"/>
      </w:pPr>
      <w:r>
        <w:t xml:space="preserve">We examined</w:t>
      </w:r>
      <w:r>
        <w:t xml:space="preserve"> </w:t>
      </w:r>
      <w:r>
        <w:rPr>
          <w:i/>
          <w:iCs/>
        </w:rPr>
        <w:t xml:space="preserve">current deviation</w:t>
      </w:r>
      <w:r>
        <w:t xml:space="preserve">—a behavioral measure reflecting whether pedestrians were adjusting their speed appropriately relative to vehicle positions—using a mixed-design ANOVA with Group as a between-subjects factor and Condition and Time (–5 s to 0 s relative to crossing midpoint) as within-subjects factors. The results revealed no significant main effect of Group</w:t>
      </w:r>
      <w:r>
        <w:t xml:space="preserve"> </w:t>
      </w:r>
      <w:r>
        <w:rPr>
          <w:i/>
          <w:iCs/>
        </w:rPr>
        <w:t xml:space="preserve">( F(1, 6) = .007, p = .934)</w:t>
      </w:r>
      <w:r>
        <w:t xml:space="preserve">, no significant main effect of Condition</w:t>
      </w:r>
      <w:r>
        <w:t xml:space="preserve"> </w:t>
      </w:r>
      <w:r>
        <w:rPr>
          <w:i/>
          <w:iCs/>
        </w:rPr>
        <w:t xml:space="preserve">(F(2, 12) = .693, p = .519)</w:t>
      </w:r>
      <w:r>
        <w:t xml:space="preserve">, and no significant Group × Condition interaction</w:t>
      </w:r>
      <w:r>
        <w:t xml:space="preserve"> </w:t>
      </w:r>
      <w:r>
        <w:rPr>
          <w:i/>
          <w:iCs/>
        </w:rPr>
        <w:t xml:space="preserve">(F(2, 12) = .133, p = .877)</w:t>
      </w:r>
      <w:r>
        <w:t xml:space="preserve">.</w:t>
      </w:r>
    </w:p>
    <w:p>
      <w:pPr>
        <w:pStyle w:val="BodyText"/>
      </w:pPr>
      <w:r>
        <w:t xml:space="preserve">Descriptively, some group- and condition-level differences were observed (see</w:t>
      </w:r>
      <w:r>
        <w:t xml:space="preserve"> </w:t>
      </w:r>
      <w:hyperlink w:anchor="fig-currentDev">
        <w:r>
          <w:rPr>
            <w:rStyle w:val="Hyperlink"/>
          </w:rPr>
          <w:t xml:space="preserve">Figure 7</w:t>
        </w:r>
      </w:hyperlink>
      <w:r>
        <w:t xml:space="preserve">), but these did not reach statistical significance. One potential reason for the null results lies in the data quality: the current deviation metric is calculated based on the instantaneous spatial relation between pedestrians and approaching vehicles. In our simulation, vehicle position data were updated at a resolution of 4-meter intervals, which introduced temporal imprecision and resulted in sparse or missing current deviation estimates in many trials, especially in ASD group where we already have limited number of participants.</w:t>
      </w:r>
    </w:p>
    <w:tbl>
      <w:tblPr>
        <w:tblStyle w:val="Table"/>
        <w:tblW w:type="pct" w:w="5000"/>
        <w:tblLayout w:type="fixed"/>
        <w:tblLook w:firstRow="0" w:lastRow="0" w:firstColumn="0" w:lastColumn="0" w:noHBand="0" w:noVBand="0" w:val="0000"/>
      </w:tblPr>
      <w:tblGrid>
        <w:gridCol w:w="7920"/>
      </w:tblGrid>
      <w:tr>
        <w:tc>
          <w:tcPr/>
          <w:bookmarkStart w:id="57" w:name="fig-currentDev"/>
          <w:p>
            <w:pPr>
              <w:pStyle w:val="Compact"/>
              <w:jc w:val="center"/>
            </w:pPr>
            <w:r>
              <w:drawing>
                <wp:inline>
                  <wp:extent cx="5334000" cy="2667000"/>
                  <wp:effectExtent b="0" l="0" r="0" t="0"/>
                  <wp:docPr descr="" title="" id="55" name="Picture"/>
                  <a:graphic>
                    <a:graphicData uri="http://schemas.openxmlformats.org/drawingml/2006/picture">
                      <pic:pic>
                        <pic:nvPicPr>
                          <pic:cNvPr descr="notebooks/fig-currentDev.png" id="56" name="Picture"/>
                          <pic:cNvPicPr>
                            <a:picLocks noChangeArrowheads="1" noChangeAspect="1"/>
                          </pic:cNvPicPr>
                        </pic:nvPicPr>
                        <pic:blipFill>
                          <a:blip r:embed="rId54"/>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Current deviation trajectories aligned to the pedestrian’s midpoint crossing time. The y-axis indicates current deviation (in seconds)—the temporal offset between the pedestrian’s projected crossing time (if they maintained their current speed) and the ideal physical midpoint of the inter-vehicle gap. A current deviation of 0 means the pedestrian was on track to cross precisely at the midpoint of the physical gap. Negative values reflect delayed timing (crossing would occur</w:t>
            </w:r>
            <w:r>
              <w:t xml:space="preserve"> </w:t>
            </w:r>
            <w:r>
              <w:rPr>
                <w:i/>
                <w:iCs/>
              </w:rPr>
              <w:t xml:space="preserve">after</w:t>
            </w:r>
            <w:r>
              <w:t xml:space="preserve"> </w:t>
            </w:r>
            <w:r>
              <w:t xml:space="preserve">the optimal midpoint), while positive values reflect anticipatory timing (crossing</w:t>
            </w:r>
            <w:r>
              <w:t xml:space="preserve"> </w:t>
            </w:r>
            <w:r>
              <w:rPr>
                <w:i/>
                <w:iCs/>
              </w:rPr>
              <w:t xml:space="preserve">before</w:t>
            </w:r>
            <w:r>
              <w:t xml:space="preserve"> </w:t>
            </w:r>
            <w:r>
              <w:t xml:space="preserve">the midpoint). The x-axis represents a 5-second countdown leading up to the actual midpoint crossing, allowing observation of real-time adjustments. Mean trajectories for each group and condition are shown as solid lines, with shaded ribbons denoting ±1 standard deviation. This visualization captures participants’ anticipatory or delayed adjustments to their speed as vehicles approached, reflecting their ability to dynamically align with moving gaps.</w:t>
            </w:r>
          </w:p>
          <w:bookmarkEnd w:id="57"/>
        </w:tc>
      </w:tr>
    </w:tbl>
    <w:p>
      <w:pPr>
        <w:pStyle w:val="BodyText"/>
      </w:pPr>
      <w:r>
        <w:t xml:space="preserve">To circumvent this limitation, we further analyzed pedestrian crossing speed, which does not depend on vehicle position data and thus offers a more continuous behavioral time course.</w:t>
      </w:r>
    </w:p>
    <w:bookmarkEnd w:id="58"/>
    <w:bookmarkStart w:id="59" w:name="pedestrian-crossing-speed"/>
    <w:p>
      <w:pPr>
        <w:pStyle w:val="Heading4"/>
      </w:pPr>
      <w:r>
        <w:t xml:space="preserve">3.1.5 Pedestrian Crossing Speed:</w:t>
      </w:r>
    </w:p>
    <w:p>
      <w:pPr>
        <w:pStyle w:val="FirstParagraph"/>
      </w:pPr>
      <w:r>
        <w:t xml:space="preserve">The pedestrian crossing speed could be interpreted as the slope factor in</w:t>
      </w:r>
      <w:r>
        <w:t xml:space="preserve"> </w:t>
      </w:r>
      <w:hyperlink w:anchor="fig-currentDev">
        <w:r>
          <w:rPr>
            <w:rStyle w:val="Hyperlink"/>
          </w:rPr>
          <w:t xml:space="preserve">Figure 7</w:t>
        </w:r>
      </w:hyperlink>
      <w:r>
        <w:t xml:space="preserve">. A mixed-design ANOVA on pedestrian speed revealed a significant main effect of Condition,</w:t>
      </w:r>
      <w:r>
        <w:t xml:space="preserve"> </w:t>
      </w:r>
      <w:r>
        <w:rPr>
          <w:i/>
          <w:iCs/>
        </w:rPr>
        <w:t xml:space="preserve">F</w:t>
      </w:r>
      <w:r>
        <w:t xml:space="preserve">(2,</w:t>
      </w:r>
      <w:r>
        <w:t xml:space="preserve"> </w:t>
      </w:r>
      <w:r>
        <w:rPr>
          <w:i/>
          <w:iCs/>
        </w:rPr>
        <w:t xml:space="preserve">94</w:t>
      </w:r>
      <w:r>
        <w:t xml:space="preserve">) = 3.43,</w:t>
      </w:r>
      <w:r>
        <w:t xml:space="preserve"> </w:t>
      </w:r>
      <w:r>
        <w:rPr>
          <w:i/>
          <w:iCs/>
        </w:rPr>
        <w:t xml:space="preserve">p</w:t>
      </w:r>
      <w:r>
        <w:t xml:space="preserve"> </w:t>
      </w:r>
      <w:r>
        <w:t xml:space="preserve">= .036,</w:t>
      </w:r>
      <w:r>
        <w:t xml:space="preserve"> </w:t>
      </w:r>
      <w:r>
        <w:rPr>
          <w:i/>
          <w:iCs/>
        </w:rPr>
        <w:t xml:space="preserve">ηp2=0.068</w:t>
      </w:r>
      <w:r>
        <w:t xml:space="preserve">, suggesting that, despite the limitations in current deviation measures, time-resolved modulations of movement speed captured condition-dependent strategies in crossing decisions. follow-up pairwise comparisons did not yield statistically significant differences.</w:t>
      </w:r>
    </w:p>
    <w:bookmarkEnd w:id="59"/>
    <w:bookmarkStart w:id="64" w:name="temporal-error"/>
    <w:p>
      <w:pPr>
        <w:pStyle w:val="Heading4"/>
      </w:pPr>
      <w:r>
        <w:t xml:space="preserve">3.1.6 Temporal Error:</w:t>
      </w:r>
    </w:p>
    <w:p>
      <w:pPr>
        <w:pStyle w:val="FirstParagraph"/>
      </w:pPr>
      <w:r>
        <w:t xml:space="preserve">The temporal error represented the deviation from the ideal mid-gap. For our 3-second gaps, the ideal mid-gap would be at 1.5-second. A mixed-design ANOVA revealed significant main effects of Condition (</w:t>
      </w:r>
      <w:r>
        <w:rPr>
          <w:i/>
          <w:iCs/>
        </w:rPr>
        <w:t xml:space="preserve">F(2,96) = 19.323, p &lt; .001, ηp2 = .287</w:t>
      </w:r>
      <w:r>
        <w:t xml:space="preserve">) and of Group</w:t>
      </w:r>
      <w:r>
        <w:t xml:space="preserve"> </w:t>
      </w:r>
      <w:r>
        <w:rPr>
          <w:i/>
          <w:iCs/>
        </w:rPr>
        <w:t xml:space="preserve">(F(1,48) = 6.226, p = .016, ηp2 = .115).</w:t>
      </w:r>
      <w:r>
        <w:t xml:space="preserve"> </w:t>
      </w:r>
      <w:hyperlink w:anchor="fig-crossingTiming">
        <w:r>
          <w:rPr>
            <w:rStyle w:val="Hyperlink"/>
          </w:rPr>
          <w:t xml:space="preserve">Figure 8</w:t>
        </w:r>
      </w:hyperlink>
      <w:r>
        <w:t xml:space="preserve"> </w:t>
      </w:r>
      <w:r>
        <w:t xml:space="preserve">showed that ASD participants crossed the mid-point significantly later than NT participants. The result was congruent with our previous finding on Crossing Start Time stating that ASD participants started later their crossing.</w:t>
      </w:r>
    </w:p>
    <w:tbl>
      <w:tblPr>
        <w:tblStyle w:val="Table"/>
        <w:tblW w:type="pct" w:w="5000"/>
        <w:tblLayout w:type="fixed"/>
        <w:tblLook w:firstRow="0" w:lastRow="0" w:firstColumn="0" w:lastColumn="0" w:noHBand="0" w:noVBand="0" w:val="0000"/>
      </w:tblPr>
      <w:tblGrid>
        <w:gridCol w:w="7920"/>
      </w:tblGrid>
      <w:tr>
        <w:tc>
          <w:tcPr/>
          <w:bookmarkStart w:id="63" w:name="fig-crossingTiming"/>
          <w:p>
            <w:pPr>
              <w:pStyle w:val="Compact"/>
              <w:jc w:val="center"/>
            </w:pPr>
            <w:r>
              <w:drawing>
                <wp:inline>
                  <wp:extent cx="5334000" cy="2044343"/>
                  <wp:effectExtent b="0" l="0" r="0" t="0"/>
                  <wp:docPr descr="" title="" id="61" name="Picture"/>
                  <a:graphic>
                    <a:graphicData uri="http://schemas.openxmlformats.org/drawingml/2006/picture">
                      <pic:pic>
                        <pic:nvPicPr>
                          <pic:cNvPr descr="notebooks/fig-crossingTiming.png" id="62" name="Picture"/>
                          <pic:cNvPicPr>
                            <a:picLocks noChangeArrowheads="1" noChangeAspect="1"/>
                          </pic:cNvPicPr>
                        </pic:nvPicPr>
                        <pic:blipFill>
                          <a:blip r:embed="rId60"/>
                          <a:stretch>
                            <a:fillRect/>
                          </a:stretch>
                        </pic:blipFill>
                        <pic:spPr bwMode="auto">
                          <a:xfrm>
                            <a:off x="0" y="0"/>
                            <a:ext cx="5334000" cy="20443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Temporal deviation from ideal mid-gap crossing time by group and condition. The y-axis indicates the temporal deviation (in seconds) between the actual pedestrian crossing time and the ideal temporal midpoint of a 3-second inter-group gap (i.e., 1.5 s after the gap-opening vehicle and 1.5 s before the gap-closing vehicle). A value of 0 represents a crossing precisely at the temporal mid-gap. Positive values reflect delayed crossings occurring in the second half of the available gap, whereas negative values indicate early crossings occurring before the temporal midpoint. Boxplots summarize the distribution of deviations for each condition and group, with error bars showing standard error.</w:t>
            </w:r>
          </w:p>
          <w:bookmarkEnd w:id="63"/>
        </w:tc>
      </w:tr>
    </w:tbl>
    <w:bookmarkEnd w:id="64"/>
    <w:bookmarkEnd w:id="65"/>
    <w:bookmarkStart w:id="80" w:name="eye-tracking-and-pupillometry"/>
    <w:p>
      <w:pPr>
        <w:pStyle w:val="Heading3"/>
      </w:pPr>
      <w:r>
        <w:t xml:space="preserve">3.2 Eye-Tracking and Pupillometry</w:t>
      </w:r>
    </w:p>
    <w:bookmarkStart w:id="74" w:name="gaze-preference"/>
    <w:p>
      <w:pPr>
        <w:pStyle w:val="Heading4"/>
      </w:pPr>
      <w:r>
        <w:t xml:space="preserve">3.2.1 Gaze Preference:</w:t>
      </w:r>
    </w:p>
    <w:tbl>
      <w:tblPr>
        <w:tblStyle w:val="Table"/>
        <w:tblW w:type="pct" w:w="5000"/>
        <w:tblLayout w:type="fixed"/>
        <w:tblLook w:firstRow="0" w:lastRow="0" w:firstColumn="0" w:lastColumn="0" w:noHBand="0" w:noVBand="0" w:val="0000"/>
      </w:tblPr>
      <w:tblGrid>
        <w:gridCol w:w="7920"/>
      </w:tblGrid>
      <w:tr>
        <w:tc>
          <w:tcPr/>
          <w:bookmarkStart w:id="69" w:name="fig-gazePref"/>
          <w:p>
            <w:pPr>
              <w:pStyle w:val="Compact"/>
              <w:jc w:val="center"/>
            </w:pPr>
            <w:r>
              <w:drawing>
                <wp:inline>
                  <wp:extent cx="5334000" cy="3333750"/>
                  <wp:effectExtent b="0" l="0" r="0" t="0"/>
                  <wp:docPr descr="" title="" id="67" name="Picture"/>
                  <a:graphic>
                    <a:graphicData uri="http://schemas.openxmlformats.org/drawingml/2006/picture">
                      <pic:pic>
                        <pic:nvPicPr>
                          <pic:cNvPr descr="notebooks/fig-gazePreference.png" id="68" name="Picture"/>
                          <pic:cNvPicPr>
                            <a:picLocks noChangeArrowheads="1" noChangeAspect="1"/>
                          </pic:cNvPicPr>
                        </pic:nvPicPr>
                        <pic:blipFill>
                          <a:blip r:embed="rId66"/>
                          <a:stretch>
                            <a:fillRect/>
                          </a:stretch>
                        </pic:blipFill>
                        <pic:spPr bwMode="auto">
                          <a:xfrm>
                            <a:off x="0" y="0"/>
                            <a:ext cx="5334000" cy="3333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Standardized Gaze Projection onto the Gap Vector. This figure depicts the standardized projection of participants’ gaze positions onto a directional vector defined by two vehicles: the</w:t>
            </w:r>
            <w:r>
              <w:t xml:space="preserve"> </w:t>
            </w:r>
            <w:r>
              <w:rPr>
                <w:i/>
                <w:iCs/>
              </w:rPr>
              <w:t xml:space="preserve">gap-opening</w:t>
            </w:r>
            <w:r>
              <w:t xml:space="preserve"> </w:t>
            </w:r>
            <w:r>
              <w:t xml:space="preserve">vehicle (V3) and the</w:t>
            </w:r>
            <w:r>
              <w:t xml:space="preserve"> </w:t>
            </w:r>
            <w:r>
              <w:rPr>
                <w:i/>
                <w:iCs/>
              </w:rPr>
              <w:t xml:space="preserve">gap-closing</w:t>
            </w:r>
            <w:r>
              <w:t xml:space="preserve"> </w:t>
            </w:r>
            <w:r>
              <w:t xml:space="preserve">vehicle (V1). The projection translates each gaze point into a scalar value along this vector, indicating where attention was spatially oriented during the decision phase leading up to road crossing. To facilitate interpretation, the projection values were segmented into three meaningful ranges: [-0.25, 0.25]: gaze concentrated near the</w:t>
            </w:r>
            <w:r>
              <w:t xml:space="preserve"> </w:t>
            </w:r>
            <w:r>
              <w:rPr>
                <w:i/>
                <w:iCs/>
              </w:rPr>
              <w:t xml:space="preserve">gap-opening</w:t>
            </w:r>
            <w:r>
              <w:t xml:space="preserve"> </w:t>
            </w:r>
            <w:r>
              <w:t xml:space="preserve">vehicle (V3), [0.25, 0.75]: gaze oriented toward the</w:t>
            </w:r>
            <w:r>
              <w:t xml:space="preserve"> </w:t>
            </w:r>
            <w:r>
              <w:rPr>
                <w:i/>
                <w:iCs/>
              </w:rPr>
              <w:t xml:space="preserve">inter-group gap</w:t>
            </w:r>
            <w:r>
              <w:t xml:space="preserve"> </w:t>
            </w:r>
            <w:r>
              <w:t xml:space="preserve">— the physical space potentially available for crossing, [0.75, 1.25]: gaze concentrated near the</w:t>
            </w:r>
            <w:r>
              <w:t xml:space="preserve"> </w:t>
            </w:r>
            <w:r>
              <w:rPr>
                <w:i/>
                <w:iCs/>
              </w:rPr>
              <w:t xml:space="preserve">gap-closing</w:t>
            </w:r>
            <w:r>
              <w:t xml:space="preserve"> </w:t>
            </w:r>
            <w:r>
              <w:t xml:space="preserve">vehicle (V1). The x-axis represents time (in seconds) counting backward from the pedestrian reaching the road center (t = 0). Each dot represents the group-level mean projection value within a time bin; error ribbons indicate the standard error. The ASD group is shown as purple dots overlaid on red ribbons, while the NT group is represented by orange dots with teal ribbons.</w:t>
            </w:r>
          </w:p>
          <w:bookmarkEnd w:id="69"/>
        </w:tc>
      </w:tr>
    </w:tbl>
    <w:p>
      <w:pPr>
        <w:pStyle w:val="BodyText"/>
      </w:pPr>
      <w:r>
        <w:t xml:space="preserve">Since the gaze data were sparse, we used a mixed linear model on gaze projections. With Subject as the random effect, Group, Condition, and Time as fixed-effect variables, we found a main effect of Condition</w:t>
      </w:r>
      <w:r>
        <w:t xml:space="preserve"> </w:t>
      </w:r>
      <w:r>
        <w:rPr>
          <w:i/>
          <w:iCs/>
        </w:rPr>
        <w:t xml:space="preserve">(F(2,40.33) = 9.297, p &lt; .01).</w:t>
      </w:r>
      <w:r>
        <w:t xml:space="preserve"> </w:t>
      </w:r>
      <w:r>
        <w:t xml:space="preserve">However, no significant main effect of Group emerged, although descriptive visualizations (see</w:t>
      </w:r>
      <w:r>
        <w:t xml:space="preserve"> </w:t>
      </w:r>
      <w:hyperlink w:anchor="fig-gazeCond">
        <w:r>
          <w:rPr>
            <w:rStyle w:val="Hyperlink"/>
          </w:rPr>
          <w:t xml:space="preserve">Figure 10</w:t>
        </w:r>
      </w:hyperlink>
      <w:r>
        <w:t xml:space="preserve">) suggested subtle group-level differences in attentional allocation patterns.</w:t>
      </w:r>
    </w:p>
    <w:tbl>
      <w:tblPr>
        <w:tblStyle w:val="Table"/>
        <w:tblW w:type="pct" w:w="5000"/>
        <w:tblLayout w:type="fixed"/>
        <w:tblLook w:firstRow="0" w:lastRow="0" w:firstColumn="0" w:lastColumn="0" w:noHBand="0" w:noVBand="0" w:val="0000"/>
      </w:tblPr>
      <w:tblGrid>
        <w:gridCol w:w="7920"/>
      </w:tblGrid>
      <w:tr>
        <w:tc>
          <w:tcPr/>
          <w:bookmarkStart w:id="73" w:name="fig-gazeCond"/>
          <w:p>
            <w:pPr>
              <w:pStyle w:val="Compact"/>
              <w:jc w:val="center"/>
            </w:pPr>
            <w:r>
              <w:drawing>
                <wp:inline>
                  <wp:extent cx="5334000" cy="2395573"/>
                  <wp:effectExtent b="0" l="0" r="0" t="0"/>
                  <wp:docPr descr="" title="" id="71" name="Picture"/>
                  <a:graphic>
                    <a:graphicData uri="http://schemas.openxmlformats.org/drawingml/2006/picture">
                      <pic:pic>
                        <pic:nvPicPr>
                          <pic:cNvPr descr="notebooks/fig-gazeCond.png" id="72" name="Picture"/>
                          <pic:cNvPicPr>
                            <a:picLocks noChangeArrowheads="1" noChangeAspect="1"/>
                          </pic:cNvPicPr>
                        </pic:nvPicPr>
                        <pic:blipFill>
                          <a:blip r:embed="rId70"/>
                          <a:stretch>
                            <a:fillRect/>
                          </a:stretch>
                        </pic:blipFill>
                        <pic:spPr bwMode="auto">
                          <a:xfrm>
                            <a:off x="0" y="0"/>
                            <a:ext cx="5334000" cy="23955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Overall Gaze Preference Across Conditions by Group. This figure summarizes the overall spatial distribution of gaze allocation in participants from the ASD and NT groups, aggregated across all experimental conditions and across a 12-second time window preceding the pedestrian’s arrival at the center of the road (t = 0). Gaze projection values were standardized and bounded within the range [−0.25,1.25]; values outside this interval were excluded to focus the analysis on task-relevant visual targets. The solid line represents the mean gaze projection for the ASD group, while the dotted line indicates the mean for the NT group. Error bars show 95% confidence intervals estimated from a linear mixed-effects model.</w:t>
            </w:r>
          </w:p>
          <w:bookmarkEnd w:id="73"/>
        </w:tc>
      </w:tr>
    </w:tbl>
    <w:bookmarkEnd w:id="74"/>
    <w:bookmarkStart w:id="79" w:name="pupil-dilatation"/>
    <w:p>
      <w:pPr>
        <w:pStyle w:val="Heading4"/>
      </w:pPr>
      <w:r>
        <w:t xml:space="preserve">3.2.1 Pupil Dilatation:</w:t>
      </w:r>
    </w:p>
    <w:tbl>
      <w:tblPr>
        <w:tblStyle w:val="Table"/>
        <w:tblW w:type="pct" w:w="5000"/>
        <w:tblLayout w:type="fixed"/>
        <w:tblLook w:firstRow="0" w:lastRow="0" w:firstColumn="0" w:lastColumn="0" w:noHBand="0" w:noVBand="0" w:val="0000"/>
      </w:tblPr>
      <w:tblGrid>
        <w:gridCol w:w="7920"/>
      </w:tblGrid>
      <w:tr>
        <w:tc>
          <w:tcPr/>
          <w:bookmarkStart w:id="78" w:name="fig-pupil"/>
          <w:p>
            <w:pPr>
              <w:pStyle w:val="Compact"/>
              <w:jc w:val="center"/>
            </w:pPr>
            <w:r>
              <w:drawing>
                <wp:inline>
                  <wp:extent cx="5334000" cy="3333749"/>
                  <wp:effectExtent b="0" l="0" r="0" t="0"/>
                  <wp:docPr descr="" title="" id="76" name="Picture"/>
                  <a:graphic>
                    <a:graphicData uri="http://schemas.openxmlformats.org/drawingml/2006/picture">
                      <pic:pic>
                        <pic:nvPicPr>
                          <pic:cNvPr descr="notebooks/fig-pupil.png" id="77" name="Picture"/>
                          <pic:cNvPicPr>
                            <a:picLocks noChangeArrowheads="1" noChangeAspect="1"/>
                          </pic:cNvPicPr>
                        </pic:nvPicPr>
                        <pic:blipFill>
                          <a:blip r:embed="rId75"/>
                          <a:stretch>
                            <a:fillRect/>
                          </a:stretch>
                        </pic:blipFill>
                        <pic:spPr bwMode="auto">
                          <a:xfrm>
                            <a:off x="0" y="0"/>
                            <a:ext cx="5334000" cy="33337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Pupil dilatation changes across conditions and groups.</w:t>
            </w:r>
          </w:p>
          <w:bookmarkEnd w:id="78"/>
        </w:tc>
      </w:tr>
    </w:tbl>
    <w:p>
      <w:pPr>
        <w:pStyle w:val="BodyText"/>
      </w:pPr>
      <w:r>
        <w:t xml:space="preserve">Pupil dilation responses indicated reduced sensitivity in ASD participants across conditions, aligning with hypo-arousal theories</w:t>
      </w:r>
      <w:r>
        <w:t xml:space="preserve"> </w:t>
      </w:r>
      <w:r>
        <w:t xml:space="preserve">(Zhao, Liu, and Wei 2022)</w:t>
      </w:r>
      <w:r>
        <w:t xml:space="preserve">. Under the VarPlus condition, however, ASD participants showed significantly increased pupil dilation, reflecting heightened cognitive demand and higher sensitivity to the manipulated variable in VarPlus condition (i.e. absolute speed variability).</w:t>
      </w:r>
    </w:p>
    <w:bookmarkEnd w:id="79"/>
    <w:bookmarkEnd w:id="80"/>
    <w:bookmarkStart w:id="96" w:name="fnirs-findings"/>
    <w:p>
      <w:pPr>
        <w:pStyle w:val="Heading3"/>
      </w:pPr>
      <w:r>
        <w:t xml:space="preserve">3.3 fNIRS Findings</w:t>
      </w:r>
    </w:p>
    <w:p>
      <w:pPr>
        <w:pStyle w:val="FirstParagraph"/>
      </w:pPr>
      <w:r>
        <w:t xml:space="preserve">As HbO has been shown to correlate better with blood flow compared to HbR and total hemoglobin values</w:t>
      </w:r>
      <w:r>
        <w:t xml:space="preserve"> </w:t>
      </w:r>
      <w:r>
        <w:t xml:space="preserve">(Hoshi, Kobayashi, and Tamura 2001)</w:t>
      </w:r>
      <w:r>
        <w:t xml:space="preserve">, we focused on HbO signals for analysis. We performed two complementary statistical analyses. First, a time-averaged channel-level comparison assessed the overall activation difference between groups for each channel, regardless of temporal dynamics. Second, a time-resolved cluster-based permutation test was conducted to identify whether group differences occurred as contiguous temporal clusters within each channel under a specific condition.</w:t>
      </w:r>
    </w:p>
    <w:bookmarkStart w:id="89" w:name="channel-level-activation"/>
    <w:p>
      <w:pPr>
        <w:pStyle w:val="Heading4"/>
      </w:pPr>
      <w:r>
        <w:t xml:space="preserve">3.3.1 Channel-level activation</w:t>
      </w:r>
    </w:p>
    <w:p>
      <w:pPr>
        <w:pStyle w:val="FirstParagraph"/>
      </w:pPr>
      <w:r>
        <w:t xml:space="preserve">For each subject, and for each channel, we computed the contrast value as the GLM beta estimate of each Condition of interest (Const, VarMinus, VarPlus) minus the Baseline condition data. These contrast values were then entered into a linear mixed-effects model with group, three contrasted condition, and channels as fixed effects, and subject as a random effect. The model revealed a significant main effect of</w:t>
      </w:r>
      <w:r>
        <w:t xml:space="preserve"> </w:t>
      </w:r>
      <w:r>
        <w:rPr>
          <w:b/>
          <w:bCs/>
        </w:rPr>
        <w:t xml:space="preserve">Group</w:t>
      </w:r>
      <w:r>
        <w:t xml:space="preserve"> </w:t>
      </w:r>
      <w:r>
        <w:t xml:space="preserve">(</w:t>
      </w:r>
      <w:r>
        <w:rPr>
          <w:i/>
          <w:iCs/>
        </w:rPr>
        <w:t xml:space="preserve">F(1,52.7) = 6.10, p = 0.017</w:t>
      </w:r>
      <w:r>
        <w:t xml:space="preserve">), indicating that ASD and NT participants showed different mean activation contrasts across all channels and conditions. No significant main effect of</w:t>
      </w:r>
      <w:r>
        <w:t xml:space="preserve"> </w:t>
      </w:r>
      <w:r>
        <w:rPr>
          <w:b/>
          <w:bCs/>
        </w:rPr>
        <w:t xml:space="preserve">Condition</w:t>
      </w:r>
      <w:r>
        <w:t xml:space="preserve"> </w:t>
      </w:r>
      <w:r>
        <w:t xml:space="preserve">or three-way interactions were observed. The</w:t>
      </w:r>
      <w:r>
        <w:t xml:space="preserve"> </w:t>
      </w:r>
      <w:r>
        <w:rPr>
          <w:b/>
          <w:bCs/>
        </w:rPr>
        <w:t xml:space="preserve">Group × Channel</w:t>
      </w:r>
      <w:r>
        <w:t xml:space="preserve"> </w:t>
      </w:r>
      <w:r>
        <w:t xml:space="preserve">interaction was significant (</w:t>
      </w:r>
      <w:r>
        <w:rPr>
          <w:i/>
          <w:iCs/>
        </w:rPr>
        <w:t xml:space="preserve">F(24,2978) = 3.41, p &lt; 0.001</w:t>
      </w:r>
      <w:r>
        <w:t xml:space="preserve">), highlighting spatial heterogeneity in group differences. Post-hoc examination of fixed effects showed that channels</w:t>
      </w:r>
      <w:r>
        <w:t xml:space="preserve"> </w:t>
      </w:r>
      <w:r>
        <w:rPr>
          <w:rStyle w:val="VerbatimChar"/>
        </w:rPr>
        <w:t xml:space="preserve">Fz_F1</w:t>
      </w:r>
      <w:r>
        <w:t xml:space="preserve"> </w:t>
      </w:r>
      <w:r>
        <w:t xml:space="preserve">(frontal,</w:t>
      </w:r>
      <w:r>
        <w:t xml:space="preserve"> </w:t>
      </w:r>
      <w:r>
        <w:rPr>
          <w:i/>
          <w:iCs/>
        </w:rPr>
        <w:t xml:space="preserve">p = 0.00318</w:t>
      </w:r>
      <w:r>
        <w:t xml:space="preserve">) and</w:t>
      </w:r>
      <w:r>
        <w:t xml:space="preserve"> </w:t>
      </w:r>
      <w:r>
        <w:rPr>
          <w:rStyle w:val="VerbatimChar"/>
        </w:rPr>
        <w:t xml:space="preserve">F7_FT7</w:t>
      </w:r>
      <w:r>
        <w:t xml:space="preserve"> </w:t>
      </w:r>
      <w:r>
        <w:t xml:space="preserve">(left temporal;</w:t>
      </w:r>
      <w:r>
        <w:t xml:space="preserve"> </w:t>
      </w:r>
      <w:r>
        <w:rPr>
          <w:i/>
          <w:iCs/>
        </w:rPr>
        <w:t xml:space="preserve">p = 0.0022</w:t>
      </w:r>
      <w:r>
        <w:t xml:space="preserve">) exhibited especially pronounced group differences.</w:t>
      </w:r>
    </w:p>
    <w:p>
      <w:pPr>
        <w:pStyle w:val="BodyText"/>
      </w:pPr>
      <w:r>
        <w:t xml:space="preserve">Pairwise t-tests across all channels identified a broader set of significant group differences (see</w:t>
      </w:r>
      <w:r>
        <w:t xml:space="preserve"> </w:t>
      </w:r>
      <w:hyperlink w:anchor="fig-channels">
        <w:r>
          <w:rPr>
            <w:rStyle w:val="Hyperlink"/>
          </w:rPr>
          <w:t xml:space="preserve">Figure 12</w:t>
        </w:r>
      </w:hyperlink>
      <w:r>
        <w:t xml:space="preserve">). The significant or marginal group differences were mapped onto the initial layout (see</w:t>
      </w:r>
      <w:r>
        <w:t xml:space="preserve"> </w:t>
      </w:r>
      <w:hyperlink w:anchor="fig-signiftheta">
        <w:r>
          <w:rPr>
            <w:rStyle w:val="Hyperlink"/>
          </w:rPr>
          <w:t xml:space="preserve">Figure 13</w:t>
        </w:r>
      </w:hyperlink>
      <w:r>
        <w:t xml:space="preserve"> </w:t>
      </w:r>
      <w:r>
        <w:t xml:space="preserve">).</w:t>
      </w:r>
    </w:p>
    <w:p>
      <w:pPr>
        <w:pStyle w:val="BodyText"/>
      </w:pPr>
      <w:r>
        <w:t xml:space="preserve">In</w:t>
      </w:r>
      <w:r>
        <w:t xml:space="preserve"> </w:t>
      </w:r>
      <w:hyperlink w:anchor="fig-channels">
        <w:r>
          <w:rPr>
            <w:rStyle w:val="Hyperlink"/>
          </w:rPr>
          <w:t xml:space="preserve">Figure 12</w:t>
        </w:r>
      </w:hyperlink>
      <w:r>
        <w:t xml:space="preserve">, we found channel</w:t>
      </w:r>
      <w:r>
        <w:t xml:space="preserve"> </w:t>
      </w:r>
      <w:r>
        <w:rPr>
          <w:rStyle w:val="VerbatimChar"/>
        </w:rPr>
        <w:t xml:space="preserve">Fz_F1</w:t>
      </w:r>
      <w:r>
        <w:t xml:space="preserve"> </w:t>
      </w:r>
      <w:r>
        <w:t xml:space="preserve">showing that ASD have significantly less HbO in frontal area; while the channel</w:t>
      </w:r>
      <w:r>
        <w:t xml:space="preserve"> </w:t>
      </w:r>
      <w:r>
        <w:rPr>
          <w:rStyle w:val="VerbatimChar"/>
        </w:rPr>
        <w:t xml:space="preserve">F7_FT7</w:t>
      </w:r>
      <w:r>
        <w:t xml:space="preserve"> </w:t>
      </w:r>
      <w:r>
        <w:t xml:space="preserve">showing the opposite pattern, ASD having more HbO in the left temporal area.</w:t>
      </w:r>
    </w:p>
    <w:tbl>
      <w:tblPr>
        <w:tblStyle w:val="Table"/>
        <w:tblW w:type="pct" w:w="5000"/>
        <w:tblLayout w:type="fixed"/>
        <w:tblLook w:firstRow="0" w:lastRow="0" w:firstColumn="0" w:lastColumn="0" w:noHBand="0" w:noVBand="0" w:val="0000"/>
      </w:tblPr>
      <w:tblGrid>
        <w:gridCol w:w="7920"/>
      </w:tblGrid>
      <w:tr>
        <w:tc>
          <w:tcPr/>
          <w:bookmarkStart w:id="84" w:name="fig-channels"/>
          <w:p>
            <w:pPr>
              <w:pStyle w:val="Compact"/>
              <w:jc w:val="center"/>
            </w:pPr>
            <w:r>
              <w:drawing>
                <wp:inline>
                  <wp:extent cx="5334000" cy="2075250"/>
                  <wp:effectExtent b="0" l="0" r="0" t="0"/>
                  <wp:docPr descr="" title="" id="82" name="Picture"/>
                  <a:graphic>
                    <a:graphicData uri="http://schemas.openxmlformats.org/drawingml/2006/picture">
                      <pic:pic>
                        <pic:nvPicPr>
                          <pic:cNvPr descr="images/group%20diff%20on%20theta%20contrast%20by%20channel.png" id="83" name="Picture"/>
                          <pic:cNvPicPr>
                            <a:picLocks noChangeArrowheads="1" noChangeAspect="1"/>
                          </pic:cNvPicPr>
                        </pic:nvPicPr>
                        <pic:blipFill>
                          <a:blip r:embed="rId81"/>
                          <a:stretch>
                            <a:fillRect/>
                          </a:stretch>
                        </pic:blipFill>
                        <pic:spPr bwMode="auto">
                          <a:xfrm>
                            <a:off x="0" y="0"/>
                            <a:ext cx="5334000" cy="20752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w:t>
            </w:r>
            <w:r>
              <w:t xml:space="preserve"> </w:t>
            </w:r>
            <w:r>
              <w:rPr>
                <w:b/>
                <w:bCs/>
              </w:rPr>
              <w:t xml:space="preserve">Channel-wise directional group differences in task-evoked HbO response (ASD - NT).</w:t>
            </w:r>
            <w:r>
              <w:t xml:space="preserve"> </w:t>
            </w:r>
            <w:r>
              <w:t xml:space="preserve">Each point represents the mean difference in HbO (ASD minus NT) for a given channel, estimated via paired t-test after FDR correction. Red stars denote statistically significant differences</w:t>
            </w:r>
            <w:r>
              <w:t xml:space="preserve"> </w:t>
            </w:r>
            <w:r>
              <w:rPr>
                <w:i/>
                <w:iCs/>
              </w:rPr>
              <w:t xml:space="preserve">(p &lt; 0.05)</w:t>
            </w:r>
            <w:r>
              <w:t xml:space="preserve">, while red dots indicate marginal significance (0.05 ≤ p &lt; 0.1). A negative mean difference (left side) reflects higher HbO in the NT group, whereas a positive value (right side) indicates higher HbO in the ASD group.</w:t>
            </w:r>
          </w:p>
          <w:bookmarkEnd w:id="84"/>
        </w:tc>
      </w:tr>
    </w:tbl>
    <w:p>
      <w:pPr>
        <w:pStyle w:val="BodyText"/>
      </w:pPr>
      <w:r>
        <w:t xml:space="preserve">ASD participants in general exhibited lower HbO compared to NT across most channels, especially in the frontal region (e.g. </w:t>
      </w:r>
      <w:r>
        <w:rPr>
          <w:rStyle w:val="VerbatimChar"/>
        </w:rPr>
        <w:t xml:space="preserve">Fz_F1</w:t>
      </w:r>
      <w:r>
        <w:t xml:space="preserve">). In contrast, increased HbO was observed in the ASD group relative to NT in the left temporal area (i.e. </w:t>
      </w:r>
      <w:r>
        <w:rPr>
          <w:rStyle w:val="VerbatimChar"/>
        </w:rPr>
        <w:t xml:space="preserve">F7_FT7</w:t>
      </w:r>
      <w:r>
        <w:t xml:space="preserve">)</w:t>
      </w:r>
    </w:p>
    <w:tbl>
      <w:tblPr>
        <w:tblStyle w:val="Table"/>
        <w:tblW w:type="pct" w:w="5000"/>
        <w:tblLayout w:type="fixed"/>
        <w:tblLook w:firstRow="0" w:lastRow="0" w:firstColumn="0" w:lastColumn="0" w:noHBand="0" w:noVBand="0" w:val="0000"/>
      </w:tblPr>
      <w:tblGrid>
        <w:gridCol w:w="7920"/>
      </w:tblGrid>
      <w:tr>
        <w:tc>
          <w:tcPr/>
          <w:bookmarkStart w:id="88" w:name="fig-signiftheta"/>
          <w:p>
            <w:pPr>
              <w:pStyle w:val="Compact"/>
              <w:jc w:val="center"/>
            </w:pPr>
            <w:r>
              <w:drawing>
                <wp:inline>
                  <wp:extent cx="5334000" cy="4742573"/>
                  <wp:effectExtent b="0" l="0" r="0" t="0"/>
                  <wp:docPr descr="" title="" id="86" name="Picture"/>
                  <a:graphic>
                    <a:graphicData uri="http://schemas.openxmlformats.org/drawingml/2006/picture">
                      <pic:pic>
                        <pic:nvPicPr>
                          <pic:cNvPr descr="images/signiftheta.png" id="87" name="Picture"/>
                          <pic:cNvPicPr>
                            <a:picLocks noChangeArrowheads="1" noChangeAspect="1"/>
                          </pic:cNvPicPr>
                        </pic:nvPicPr>
                        <pic:blipFill>
                          <a:blip r:embed="rId85"/>
                          <a:stretch>
                            <a:fillRect/>
                          </a:stretch>
                        </pic:blipFill>
                        <pic:spPr bwMode="auto">
                          <a:xfrm>
                            <a:off x="0" y="0"/>
                            <a:ext cx="5334000" cy="47425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w:t>
            </w:r>
            <w:r>
              <w:t xml:space="preserve"> </w:t>
            </w:r>
            <w:r>
              <w:rPr>
                <w:b/>
                <w:bCs/>
              </w:rPr>
              <w:t xml:space="preserve">Spatial visualization of group differences in channel-level theta contrasts (ASD vs NT).</w:t>
            </w:r>
            <w:r>
              <w:t xml:space="preserve"> </w:t>
            </w:r>
            <w:r>
              <w:t xml:space="preserve">Blue arrows represent the anatomical locations of channels based on the international 10-10 system. Channel markers with red stars indicate statistically significant group differences (p &lt; 0.05), and those with red dots indicate marginal significance (0.05 ≤ p &lt; 0.1) based on independent t-tests (FDR-corrected). Channels with a red background highlight sites (e.g.,</w:t>
            </w:r>
            <w:r>
              <w:t xml:space="preserve"> </w:t>
            </w:r>
            <w:r>
              <w:rPr>
                <w:rStyle w:val="VerbatimChar"/>
              </w:rPr>
              <w:t xml:space="preserve">Fz_F1, F7_FT7</w:t>
            </w:r>
            <w:r>
              <w:t xml:space="preserve">) where robust group effects were also confirmed using linear mixed-effects modeling.</w:t>
            </w:r>
          </w:p>
          <w:bookmarkEnd w:id="88"/>
        </w:tc>
      </w:tr>
    </w:tbl>
    <w:p>
      <w:pPr>
        <w:pStyle w:val="BodyText"/>
      </w:pPr>
      <w:r>
        <w:t xml:space="preserve">Only double-confirmed effects (</w:t>
      </w:r>
      <w:r>
        <w:rPr>
          <w:rStyle w:val="VerbatimChar"/>
        </w:rPr>
        <w:t xml:space="preserve">Fz_F1</w:t>
      </w:r>
      <w:r>
        <w:t xml:space="preserve"> </w:t>
      </w:r>
      <w:r>
        <w:t xml:space="preserve">in the frontal area, and</w:t>
      </w:r>
      <w:r>
        <w:t xml:space="preserve"> </w:t>
      </w:r>
      <w:r>
        <w:rPr>
          <w:rStyle w:val="VerbatimChar"/>
        </w:rPr>
        <w:t xml:space="preserve">F7_FT7</w:t>
      </w:r>
      <w:r>
        <w:t xml:space="preserve"> </w:t>
      </w:r>
      <w:r>
        <w:t xml:space="preserve">in left temporal) are interpreted as robust findings; additional significant channels identified by t-tests alone are considered exploratory.</w:t>
      </w:r>
    </w:p>
    <w:bookmarkEnd w:id="89"/>
    <w:bookmarkStart w:id="95" w:name="permutation-cluster-test"/>
    <w:p>
      <w:pPr>
        <w:pStyle w:val="Heading4"/>
      </w:pPr>
      <w:r>
        <w:t xml:space="preserve">3.3.2. Permutation cluster test</w:t>
      </w:r>
    </w:p>
    <w:tbl>
      <w:tblPr>
        <w:tblStyle w:val="Table"/>
        <w:tblW w:type="pct" w:w="5000"/>
        <w:tblLayout w:type="fixed"/>
        <w:tblLook w:firstRow="0" w:lastRow="0" w:firstColumn="0" w:lastColumn="0" w:noHBand="0" w:noVBand="0" w:val="0000"/>
      </w:tblPr>
      <w:tblGrid>
        <w:gridCol w:w="7920"/>
      </w:tblGrid>
      <w:tr>
        <w:tc>
          <w:tcPr/>
          <w:bookmarkStart w:id="94" w:name="fig-permutation"/>
          <w:p>
            <w:pPr>
              <w:pStyle w:val="Compact"/>
              <w:jc w:val="center"/>
            </w:pPr>
            <w:bookmarkStart w:id="93" w:name="fig-permutation"/>
            <w:r>
              <w:drawing>
                <wp:inline>
                  <wp:extent cx="5334000" cy="2566120"/>
                  <wp:effectExtent b="0" l="0" r="0" t="0"/>
                  <wp:docPr descr="" title="" id="91" name="Picture"/>
                  <a:graphic>
                    <a:graphicData uri="http://schemas.openxmlformats.org/drawingml/2006/picture">
                      <pic:pic>
                        <pic:nvPicPr>
                          <pic:cNvPr descr="images/permutation.png" id="92" name="Picture"/>
                          <pic:cNvPicPr>
                            <a:picLocks noChangeArrowheads="1" noChangeAspect="1"/>
                          </pic:cNvPicPr>
                        </pic:nvPicPr>
                        <pic:blipFill>
                          <a:blip r:embed="rId90"/>
                          <a:stretch>
                            <a:fillRect/>
                          </a:stretch>
                        </pic:blipFill>
                        <pic:spPr bwMode="auto">
                          <a:xfrm>
                            <a:off x="0" y="0"/>
                            <a:ext cx="5334000" cy="2566120"/>
                          </a:xfrm>
                          <a:prstGeom prst="rect">
                            <a:avLst/>
                          </a:prstGeom>
                          <a:noFill/>
                          <a:ln w="9525">
                            <a:noFill/>
                            <a:headEnd/>
                            <a:tailEnd/>
                          </a:ln>
                        </pic:spPr>
                      </pic:pic>
                    </a:graphicData>
                  </a:graphic>
                </wp:inline>
              </w:drawing>
            </w:r>
            <w:bookmarkEnd w:id="93"/>
          </w:p>
          <w:p>
            <w:pPr>
              <w:jc w:val="center"/>
            </w:pPr>
            <w:pPr>
              <w:jc w:val="start"/>
              <w:spacing w:before="200"/>
              <w:pStyle w:val="ImageCaption"/>
            </w:pPr>
            <w:r>
              <w:t xml:space="preserve">Figure 14</w:t>
            </w:r>
          </w:p>
          <w:bookmarkEnd w:id="94"/>
        </w:tc>
      </w:tr>
    </w:tbl>
    <w:p>
      <w:pPr>
        <w:pStyle w:val="BodyText"/>
      </w:pPr>
      <w:r>
        <w:t xml:space="preserve">To identify group-level differences in time courses, we conducted a cluster-based permutation test on HbO signals across conditions. The test was applied to each channel and each condition individually, using participant-level HbO time courses as input.</w:t>
      </w:r>
    </w:p>
    <w:p>
      <w:pPr>
        <w:pStyle w:val="BodyText"/>
      </w:pPr>
      <w:r>
        <w:t xml:space="preserve">Cluster-based permutation testing revealed significant (</w:t>
      </w:r>
      <w:r>
        <w:rPr>
          <w:i/>
          <w:iCs/>
        </w:rPr>
        <w:t xml:space="preserve">p &lt; .05</w:t>
      </w:r>
      <w:r>
        <w:t xml:space="preserve">, cluster-corrected) group differences under</w:t>
      </w:r>
      <w:r>
        <w:t xml:space="preserve"> </w:t>
      </w:r>
      <w:r>
        <w:rPr>
          <w:b/>
          <w:bCs/>
        </w:rPr>
        <w:t xml:space="preserve">VarPlus</w:t>
      </w:r>
      <w:r>
        <w:t xml:space="preserve"> </w:t>
      </w:r>
      <w:r>
        <w:t xml:space="preserve">condition at frontal channel</w:t>
      </w:r>
      <w:r>
        <w:t xml:space="preserve"> </w:t>
      </w:r>
      <w:r>
        <w:rPr>
          <w:rStyle w:val="VerbatimChar"/>
        </w:rPr>
        <w:t xml:space="preserve">AF4_F2</w:t>
      </w:r>
      <w:r>
        <w:t xml:space="preserve"> </w:t>
      </w:r>
      <w:r>
        <w:t xml:space="preserve">and left parietal channel</w:t>
      </w:r>
      <w:r>
        <w:t xml:space="preserve"> </w:t>
      </w:r>
      <w:r>
        <w:rPr>
          <w:rStyle w:val="VerbatimChar"/>
        </w:rPr>
        <w:t xml:space="preserve">CP5_P5</w:t>
      </w:r>
      <w:r>
        <w:t xml:space="preserve">. ASD participants exhibited increased HbO signals in these channels prior to crossing attempts, suggesting the cognitive differences were determined even before crossing. ASD pedestrians showed a differential engagement in neural processing than NT pedestrians under VarPlus condition.</w:t>
      </w:r>
    </w:p>
    <w:bookmarkEnd w:id="95"/>
    <w:bookmarkEnd w:id="96"/>
    <w:bookmarkEnd w:id="97"/>
    <w:bookmarkStart w:id="98" w:name="discussion"/>
    <w:p>
      <w:pPr>
        <w:pStyle w:val="Heading1"/>
      </w:pPr>
      <w:r>
        <w:t xml:space="preserve">4. Discussion</w:t>
      </w:r>
    </w:p>
    <w:p>
      <w:pPr>
        <w:pStyle w:val="FirstParagraph"/>
      </w:pPr>
      <w:r>
        <w:t xml:space="preserve">Our multimodal findings illuminate distinctive cognitive responses from ASD pedestrians during interactions with autonomous vehicles, resonating strongly with predictive coding models of autism</w:t>
      </w:r>
      <w:r>
        <w:t xml:space="preserve"> </w:t>
      </w:r>
      <w:r>
        <w:t xml:space="preserve">(Van de Cruys et al. 2014)</w:t>
      </w:r>
      <w:r>
        <w:t xml:space="preserve">. The heightened hesitation (i.e. Crossing Start Time) and sensitivity to speed variability (i.e. specific performance under VarPlus) observed in ASD participants likely arise from atypical sensory processing and decision-making processes, rather than deficits in motor execution.</w:t>
      </w:r>
    </w:p>
    <w:p>
      <w:pPr>
        <w:pStyle w:val="BodyText"/>
      </w:pPr>
      <w:r>
        <w:t xml:space="preserve">The reduced HbO activation in frontal areas coupled with increased temporal and parietal activations in ASD could reflect diminished engagement of regions involved in rapid social inference and executive control (frontal cortex) alongside enhanced reliance on regions implicated in sensory integration and motion perception (temporal and parietal cortices). The increased pupil dilation specifically under VarPlus conditions further corroborates increased cognitive load and autonomic arousal</w:t>
      </w:r>
      <w:r>
        <w:t xml:space="preserve"> </w:t>
      </w:r>
      <w:r>
        <w:t xml:space="preserve">(Zadok et al. 2024)</w:t>
      </w:r>
      <w:r>
        <w:t xml:space="preserve"> </w:t>
      </w:r>
      <w:r>
        <w:t xml:space="preserve">associated with unpredictability and sensory uncertainty.</w:t>
      </w:r>
    </w:p>
    <w:p>
      <w:pPr>
        <w:pStyle w:val="BodyText"/>
      </w:pPr>
      <w:r>
        <w:t xml:space="preserve">Hemodynamic response data from fNIRS further enriched our understanding by revealing condition-specific cortical activation patterns. Reduced frontal cortex activation (channel</w:t>
      </w:r>
      <w:r>
        <w:t xml:space="preserve"> </w:t>
      </w:r>
      <w:r>
        <w:rPr>
          <w:rStyle w:val="VerbatimChar"/>
        </w:rPr>
        <w:t xml:space="preserve">Fz_F1</w:t>
      </w:r>
      <w:r>
        <w:t xml:space="preserve">) in the ASD group potentially indicates diminished reliance on executive control regions typically engaged during rapid social inference or cognitive conflict resolution. </w:t>
      </w:r>
    </w:p>
    <w:p>
      <w:pPr>
        <w:pStyle w:val="BodyText"/>
      </w:pPr>
      <w:r>
        <w:t xml:space="preserve">Conversely, enhanced activations observed in temporal (</w:t>
      </w:r>
      <w:r>
        <w:rPr>
          <w:rStyle w:val="VerbatimChar"/>
        </w:rPr>
        <w:t xml:space="preserve">F7_FT7</w:t>
      </w:r>
      <w:r>
        <w:t xml:space="preserve">) and parietal areas (</w:t>
      </w:r>
      <w:r>
        <w:rPr>
          <w:rStyle w:val="VerbatimChar"/>
        </w:rPr>
        <w:t xml:space="preserve">CP5_P5</w:t>
      </w:r>
      <w:r>
        <w:t xml:space="preserve">) are particularly intriguing, as these regions are known to play critical roles in social perception, motion prediction, and mentalizing processes</w:t>
      </w:r>
      <w:r>
        <w:t xml:space="preserve"> </w:t>
      </w:r>
      <w:r>
        <w:t xml:space="preserve">(Rebecca Saxe and Powell 2006; Van Overwalle and Baetens 2009)</w:t>
      </w:r>
      <w:r>
        <w:t xml:space="preserve">. This distinct activation profile suggests that ASD individuals may engage alternative neural pathways, possibly compensatory mechanisms, to process dynamic social cues and motion-related environmental changes presented by AVs.</w:t>
      </w:r>
    </w:p>
    <w:p>
      <w:pPr>
        <w:pStyle w:val="BodyText"/>
      </w:pPr>
      <w:r>
        <w:t xml:space="preserve">The permutation-based cluster analysis revealed temporally specific neural activation differences in frontal (</w:t>
      </w:r>
      <w:r>
        <w:rPr>
          <w:rStyle w:val="VerbatimChar"/>
        </w:rPr>
        <w:t xml:space="preserve">AF4_F2</w:t>
      </w:r>
      <w:r>
        <w:t xml:space="preserve">) and parietal (</w:t>
      </w:r>
      <w:r>
        <w:rPr>
          <w:rStyle w:val="VerbatimChar"/>
        </w:rPr>
        <w:t xml:space="preserve">CP5_P5</w:t>
      </w:r>
      <w:r>
        <w:t xml:space="preserve">) regions before crossing onset in the VarPlus condition. These early divergences suggest that autistic participants may allocate more anticipatory resources when faced with dynamically changing environments. Such a pattern is consistent with theories of altered sensory precision in autism, implying that under uncertainty, autistic individuals may engage more cortical processing to integrate sensory cues and guide decision-making.</w:t>
      </w:r>
    </w:p>
    <w:p>
      <w:pPr>
        <w:pStyle w:val="BodyText"/>
      </w:pPr>
      <w:r>
        <w:t xml:space="preserve">These findings collectively underscore the importance of designing AV communication systems that explicitly account for neurodiverse cognitive and perceptual processing styles. Incorporating clear, explicit, and dynamically adaptive signals into AV-pedestrian interactions can significantly improve safety and inclusivity. Our study also emphasizes the potential utility of multimodal physiological signals, such as fNIRS and pupillometry, as biomarkers for adaptive AV systems, enhancing responsiveness to the varied cognitive strategies employed by different pedestrian populations.</w:t>
      </w:r>
    </w:p>
    <w:p>
      <w:pPr>
        <w:pStyle w:val="BodyText"/>
      </w:pPr>
      <w:r>
        <w:t xml:space="preserve">However, several limitations should be acknowledged, including modest statistical power due to the smaller ASD sample, and age discrepancies between groups. Future research with larger, better-matched samples and refined measures (e.g., higher temporal resolution for vehicle position tracking) is essential to strengthen and generalize these findings.</w:t>
      </w:r>
    </w:p>
    <w:p>
      <w:pPr>
        <w:pStyle w:val="BodyText"/>
      </w:pPr>
      <w:r>
        <w:t xml:space="preserve">Ultimately, our multimodal approach reveals that the distinct behaviors and neural responses observed in autistic pedestrians are predominantly driven by unique sensory processing and decision-making characteristics rather than motor deficits. This highlights critical considerations for creating inclusive AV technology, facilitating safer interactions for neurodiverse populations in urban mobility environments.</w:t>
      </w:r>
    </w:p>
    <w:bookmarkEnd w:id="98"/>
    <w:bookmarkStart w:id="99" w:name="conclusion"/>
    <w:p>
      <w:pPr>
        <w:pStyle w:val="Heading1"/>
      </w:pPr>
      <w:r>
        <w:t xml:space="preserve">5. Conclusion</w:t>
      </w:r>
    </w:p>
    <w:p>
      <w:pPr>
        <w:pStyle w:val="FirstParagraph"/>
      </w:pPr>
      <w:r>
        <w:t xml:space="preserve">Autistic individuals exhibit distinct behavioral and cognitive patterns in crossing decisions involving AVs. Their challenges do not stem from motor execution but from upstream decision processes tied to sensory processing, social perception and arousal. Designing AV systems that accommodate such differences can promote safer, more inclusive mobility ecosystems.</w:t>
      </w:r>
    </w:p>
    <w:bookmarkEnd w:id="99"/>
    <w:bookmarkStart w:id="100" w:name="author-contributions"/>
    <w:p>
      <w:pPr>
        <w:pStyle w:val="Heading1"/>
      </w:pPr>
      <w:r>
        <w:t xml:space="preserve">Author contributions</w:t>
      </w:r>
    </w:p>
    <w:p>
      <w:pPr>
        <w:pStyle w:val="FirstParagraph"/>
      </w:pPr>
      <w:r>
        <w:t xml:space="preserve">Wenjie Huang: Conceptualization, Methodology, Software, Formal analysis, Investigation, Visualization, Data Curation, Writing – Original Draft.</w:t>
      </w:r>
      <w:r>
        <w:br/>
      </w:r>
      <w:r>
        <w:t xml:space="preserve">Emanuelle Reynaud: Conceptualization, Methodology, Validation, Resources, Supervision, Writing – Review &amp; Editing.</w:t>
      </w:r>
      <w:r>
        <w:br/>
      </w:r>
      <w:r>
        <w:t xml:space="preserve">Julien Cegarra: Software, Conceptualization, Funding acquisition.</w:t>
      </w:r>
      <w:r>
        <w:br/>
      </w:r>
      <w:r>
        <w:t xml:space="preserve">Arnaud Fournel: Software, Formal analysis, Resources, Data Curation.</w:t>
      </w:r>
      <w:r>
        <w:br/>
      </w:r>
      <w:r>
        <w:t xml:space="preserve">Vivien Gaujoux: Conceptualization, Methodology, Investigation.</w:t>
      </w:r>
      <w:r>
        <w:br/>
      </w:r>
      <w:r>
        <w:t xml:space="preserve">Jordan Navarro: Conceptualization, Supervision, Project administration, Funding acquisition, Writing – Review &amp; Editing.</w:t>
      </w:r>
    </w:p>
    <w:bookmarkEnd w:id="100"/>
    <w:bookmarkStart w:id="101" w:name="declaration-of-competing-interest"/>
    <w:p>
      <w:pPr>
        <w:pStyle w:val="Heading1"/>
      </w:pPr>
      <w:r>
        <w:t xml:space="preserve">Declaration of Competing Interest</w:t>
      </w:r>
    </w:p>
    <w:p>
      <w:pPr>
        <w:pStyle w:val="FirstParagraph"/>
      </w:pPr>
      <w:r>
        <w:t xml:space="preserve">The authors declare no competing interests.</w:t>
      </w:r>
    </w:p>
    <w:bookmarkEnd w:id="101"/>
    <w:bookmarkStart w:id="102" w:name="funding"/>
    <w:p>
      <w:pPr>
        <w:pStyle w:val="Heading1"/>
      </w:pPr>
      <w:r>
        <w:t xml:space="preserve">Funding</w:t>
      </w:r>
    </w:p>
    <w:p>
      <w:pPr>
        <w:pStyle w:val="FirstParagraph"/>
      </w:pPr>
      <w:r>
        <w:t xml:space="preserve">This research was supported by the a public funding from Délégation à la sécurité routière (DSR) (Grant no.xxxxx) for Jordan Navarro.</w:t>
      </w:r>
    </w:p>
    <w:bookmarkEnd w:id="102"/>
    <w:bookmarkStart w:id="103" w:name="Xa6ff8e54395812bd8a1d49fa16c25a1d6a46bbb"/>
    <w:p>
      <w:pPr>
        <w:pStyle w:val="Heading1"/>
      </w:pPr>
      <w:r>
        <w:t xml:space="preserve">Declaration of Generative AI in the Writing Process</w:t>
      </w:r>
    </w:p>
    <w:p>
      <w:pPr>
        <w:pStyle w:val="FirstParagraph"/>
      </w:pPr>
      <w:r>
        <w:t xml:space="preserve">During the preparation of this article, ChatGPT was used to assist with language refinement and formatting. The final content was reviewed and verified by the authors.</w:t>
      </w:r>
    </w:p>
    <w:bookmarkEnd w:id="103"/>
    <w:bookmarkStart w:id="202" w:name="data-availability"/>
    <w:p>
      <w:pPr>
        <w:pStyle w:val="Heading1"/>
      </w:pPr>
      <w:r>
        <w:t xml:space="preserve">Data Availability</w:t>
      </w:r>
    </w:p>
    <w:p>
      <w:pPr>
        <w:pStyle w:val="FirstParagraph"/>
      </w:pPr>
      <w:r>
        <w:t xml:space="preserve">Data underlying this article will be made available upon request due to privacy constraints regarding sensitive participant information.</w:t>
      </w:r>
    </w:p>
    <w:bookmarkStart w:id="201" w:name="refs"/>
    <w:bookmarkStart w:id="105" w:name="ref-andrewharrell1992"/>
    <w:p>
      <w:pPr>
        <w:pStyle w:val="Bibliography"/>
      </w:pPr>
      <w:r>
        <w:t xml:space="preserve">Andrew Harrell, W. 1992.</w:t>
      </w:r>
      <w:r>
        <w:t xml:space="preserve"> </w:t>
      </w:r>
      <w:r>
        <w:t xml:space="preserve">“Driver Response to a Disabled Pedestrian Using a Dangerous Crosswalk.”</w:t>
      </w:r>
      <w:r>
        <w:t xml:space="preserve"> </w:t>
      </w:r>
      <w:r>
        <w:rPr>
          <w:i/>
          <w:iCs/>
        </w:rPr>
        <w:t xml:space="preserve">Journal of Environmental Psychology</w:t>
      </w:r>
      <w:r>
        <w:t xml:space="preserve"> </w:t>
      </w:r>
      <w:r>
        <w:t xml:space="preserve">12 (4): 345–54.</w:t>
      </w:r>
      <w:r>
        <w:t xml:space="preserve"> </w:t>
      </w:r>
      <w:hyperlink r:id="rId104">
        <w:r>
          <w:rPr>
            <w:rStyle w:val="Hyperlink"/>
          </w:rPr>
          <w:t xml:space="preserve">https://doi.org/10.1016/S0272-4944(05)80083-0</w:t>
        </w:r>
      </w:hyperlink>
      <w:r>
        <w:t xml:space="preserve">.</w:t>
      </w:r>
    </w:p>
    <w:bookmarkEnd w:id="105"/>
    <w:bookmarkStart w:id="107" w:name="ref-baron-cohen1985"/>
    <w:p>
      <w:pPr>
        <w:pStyle w:val="Bibliography"/>
      </w:pPr>
      <w:r>
        <w:t xml:space="preserve">Baron-Cohen, Simon, Alan M. Leslie, and Uta Frith. 1985.</w:t>
      </w:r>
      <w:r>
        <w:t xml:space="preserve"> </w:t>
      </w:r>
      <w:r>
        <w:t xml:space="preserve">“Does the Autistic Child Have a</w:t>
      </w:r>
      <w:r>
        <w:t xml:space="preserve"> </w:t>
      </w:r>
      <w:r>
        <w:t xml:space="preserve">“</w:t>
      </w:r>
      <w:r>
        <w:t xml:space="preserve">Theory of Mind</w:t>
      </w:r>
      <w:r>
        <w:t xml:space="preserve">”</w:t>
      </w:r>
      <w:r>
        <w:t xml:space="preserve"> </w:t>
      </w:r>
      <w:r>
        <w:t xml:space="preserve">?”</w:t>
      </w:r>
      <w:r>
        <w:t xml:space="preserve"> </w:t>
      </w:r>
      <w:r>
        <w:rPr>
          <w:i/>
          <w:iCs/>
        </w:rPr>
        <w:t xml:space="preserve">Cognition</w:t>
      </w:r>
      <w:r>
        <w:t xml:space="preserve"> </w:t>
      </w:r>
      <w:r>
        <w:t xml:space="preserve">21 (1): 37–46.</w:t>
      </w:r>
      <w:r>
        <w:t xml:space="preserve"> </w:t>
      </w:r>
      <w:hyperlink r:id="rId106">
        <w:r>
          <w:rPr>
            <w:rStyle w:val="Hyperlink"/>
          </w:rPr>
          <w:t xml:space="preserve">https://doi.org/10.1016/0010-0277(85)90022-8</w:t>
        </w:r>
      </w:hyperlink>
      <w:r>
        <w:t xml:space="preserve">.</w:t>
      </w:r>
    </w:p>
    <w:bookmarkEnd w:id="107"/>
    <w:bookmarkStart w:id="109" w:name="ref-bishop2017"/>
    <w:p>
      <w:pPr>
        <w:pStyle w:val="Bibliography"/>
      </w:pPr>
      <w:r>
        <w:t xml:space="preserve">Bishop, Haley Johnson, Fred J. Biasini, and Despina Stavrinos. 2017.</w:t>
      </w:r>
      <w:r>
        <w:t xml:space="preserve"> </w:t>
      </w:r>
      <w:r>
        <w:t xml:space="preserve">“Social and Non-Social Hazard Response in Drivers with Autism Spectrum Disorder.”</w:t>
      </w:r>
      <w:r>
        <w:t xml:space="preserve"> </w:t>
      </w:r>
      <w:r>
        <w:rPr>
          <w:i/>
          <w:iCs/>
        </w:rPr>
        <w:t xml:space="preserve">Journal of Autism and Developmental Disorders</w:t>
      </w:r>
      <w:r>
        <w:t xml:space="preserve"> </w:t>
      </w:r>
      <w:r>
        <w:t xml:space="preserve">47 (4): 905–17.</w:t>
      </w:r>
      <w:r>
        <w:t xml:space="preserve"> </w:t>
      </w:r>
      <w:hyperlink r:id="rId108">
        <w:r>
          <w:rPr>
            <w:rStyle w:val="Hyperlink"/>
          </w:rPr>
          <w:t xml:space="preserve">https://doi.org/10.1007/s10803-016-2992-1</w:t>
        </w:r>
      </w:hyperlink>
      <w:r>
        <w:t xml:space="preserve">.</w:t>
      </w:r>
    </w:p>
    <w:bookmarkEnd w:id="109"/>
    <w:bookmarkStart w:id="111" w:name="ref-chee2019"/>
    <w:p>
      <w:pPr>
        <w:pStyle w:val="Bibliography"/>
      </w:pPr>
      <w:r>
        <w:t xml:space="preserve">Chee, Derserri Yan Ting, Hoe Chung Yeung Lee, Ann-Helen Patomella, and Torbjörn Falkmer. 2019.</w:t>
      </w:r>
      <w:r>
        <w:t xml:space="preserve"> </w:t>
      </w:r>
      <w:r>
        <w:t xml:space="preserve">“Investigating the Driving Performance of Drivers with and Without Autism Spectrum Disorders Under Complex Driving Conditions.”</w:t>
      </w:r>
      <w:r>
        <w:t xml:space="preserve"> </w:t>
      </w:r>
      <w:r>
        <w:rPr>
          <w:i/>
          <w:iCs/>
        </w:rPr>
        <w:t xml:space="preserve">Disability and Rehabilitation</w:t>
      </w:r>
      <w:r>
        <w:t xml:space="preserve"> </w:t>
      </w:r>
      <w:r>
        <w:t xml:space="preserve">41 (1): 18.</w:t>
      </w:r>
      <w:r>
        <w:t xml:space="preserve"> </w:t>
      </w:r>
      <w:hyperlink r:id="rId110">
        <w:r>
          <w:rPr>
            <w:rStyle w:val="Hyperlink"/>
          </w:rPr>
          <w:t xml:space="preserve">https://doi.org/10.1080/09638288.2017.1370498</w:t>
        </w:r>
      </w:hyperlink>
      <w:r>
        <w:t xml:space="preserve">.</w:t>
      </w:r>
    </w:p>
    <w:bookmarkEnd w:id="111"/>
    <w:bookmarkStart w:id="113" w:name="ref-chee2017"/>
    <w:p>
      <w:pPr>
        <w:pStyle w:val="Bibliography"/>
      </w:pPr>
      <w:r>
        <w:t xml:space="preserve">Chee, Derserri Y., Hoe C. Lee, Ann-Helen Patomella, and Torbjörn Falkmer. 2017.</w:t>
      </w:r>
      <w:r>
        <w:t xml:space="preserve"> </w:t>
      </w:r>
      <w:r>
        <w:t xml:space="preserve">“Driving Behaviour Profile of Drivers with Autism Spectrum Disorder (ASD).”</w:t>
      </w:r>
      <w:r>
        <w:t xml:space="preserve"> </w:t>
      </w:r>
      <w:r>
        <w:rPr>
          <w:i/>
          <w:iCs/>
        </w:rPr>
        <w:t xml:space="preserve">Journal of Autism and Developmental Disorders</w:t>
      </w:r>
      <w:r>
        <w:t xml:space="preserve"> </w:t>
      </w:r>
      <w:r>
        <w:t xml:space="preserve">47 (9): 2658–70.</w:t>
      </w:r>
      <w:r>
        <w:t xml:space="preserve"> </w:t>
      </w:r>
      <w:hyperlink r:id="rId112">
        <w:r>
          <w:rPr>
            <w:rStyle w:val="Hyperlink"/>
          </w:rPr>
          <w:t xml:space="preserve">https://doi.org/10.1007/s10803-017-3178-1</w:t>
        </w:r>
      </w:hyperlink>
      <w:r>
        <w:t xml:space="preserve">.</w:t>
      </w:r>
    </w:p>
    <w:bookmarkEnd w:id="113"/>
    <w:bookmarkStart w:id="115" w:name="ref-dennett1971"/>
    <w:p>
      <w:pPr>
        <w:pStyle w:val="Bibliography"/>
      </w:pPr>
      <w:r>
        <w:t xml:space="preserve">Dennett, D. C. 1971.</w:t>
      </w:r>
      <w:r>
        <w:t xml:space="preserve"> </w:t>
      </w:r>
      <w:r>
        <w:t xml:space="preserve">“Intentional Systems.”</w:t>
      </w:r>
      <w:r>
        <w:t xml:space="preserve"> </w:t>
      </w:r>
      <w:r>
        <w:rPr>
          <w:i/>
          <w:iCs/>
        </w:rPr>
        <w:t xml:space="preserve">The Journal of Philosophy</w:t>
      </w:r>
      <w:r>
        <w:t xml:space="preserve"> </w:t>
      </w:r>
      <w:r>
        <w:t xml:space="preserve">68 (4): 87–106.</w:t>
      </w:r>
      <w:r>
        <w:t xml:space="preserve"> </w:t>
      </w:r>
      <w:hyperlink r:id="rId114">
        <w:r>
          <w:rPr>
            <w:rStyle w:val="Hyperlink"/>
          </w:rPr>
          <w:t xml:space="preserve">https://doi.org/10.2307/2025382</w:t>
        </w:r>
      </w:hyperlink>
      <w:r>
        <w:t xml:space="preserve">.</w:t>
      </w:r>
    </w:p>
    <w:bookmarkEnd w:id="115"/>
    <w:bookmarkStart w:id="116" w:name="ref-diagnost2013"/>
    <w:p>
      <w:pPr>
        <w:pStyle w:val="Bibliography"/>
      </w:pPr>
      <w:r>
        <w:rPr>
          <w:i/>
          <w:iCs/>
        </w:rPr>
        <w:t xml:space="preserve">Diagnostic and Statistical Manual of Mental Disorders: DSM-5</w:t>
      </w:r>
      <w:r>
        <w:t xml:space="preserve">. 2013. 5th ed. Washington: American psychiatric association.</w:t>
      </w:r>
    </w:p>
    <w:bookmarkEnd w:id="116"/>
    <w:bookmarkStart w:id="118" w:name="ref-diehl2012"/>
    <w:p>
      <w:pPr>
        <w:pStyle w:val="Bibliography"/>
      </w:pPr>
      <w:r>
        <w:t xml:space="preserve">Diehl, Joshua J., Lauren M. Schmitt, Michael Villano, and Charles R. Crowell. 2012.</w:t>
      </w:r>
      <w:r>
        <w:t xml:space="preserve"> </w:t>
      </w:r>
      <w:r>
        <w:t xml:space="preserve">“The Clinical Use of Robots for Individuals with Autism Spectrum Disorders: A Critical Review.”</w:t>
      </w:r>
      <w:r>
        <w:t xml:space="preserve"> </w:t>
      </w:r>
      <w:r>
        <w:rPr>
          <w:i/>
          <w:iCs/>
        </w:rPr>
        <w:t xml:space="preserve">Research in Autism Spectrum Disorders</w:t>
      </w:r>
      <w:r>
        <w:t xml:space="preserve"> </w:t>
      </w:r>
      <w:r>
        <w:t xml:space="preserve">6 (1): 249–62.</w:t>
      </w:r>
      <w:r>
        <w:t xml:space="preserve"> </w:t>
      </w:r>
      <w:hyperlink r:id="rId117">
        <w:r>
          <w:rPr>
            <w:rStyle w:val="Hyperlink"/>
          </w:rPr>
          <w:t xml:space="preserve">https://doi.org/10.1016/j.rasd.2011.05.006</w:t>
        </w:r>
      </w:hyperlink>
      <w:r>
        <w:t xml:space="preserve">.</w:t>
      </w:r>
    </w:p>
    <w:bookmarkEnd w:id="118"/>
    <w:bookmarkStart w:id="120" w:name="ref-driggs-campbell2016"/>
    <w:p>
      <w:pPr>
        <w:pStyle w:val="Bibliography"/>
      </w:pPr>
      <w:r>
        <w:t xml:space="preserve">Driggs-Campbell, Katherine, and Ruzena Bajcsy. 2016.</w:t>
      </w:r>
      <w:r>
        <w:t xml:space="preserve"> </w:t>
      </w:r>
      <w:r>
        <w:t xml:space="preserve">“2016 IEEE/RSJ International Conference on Intelligent Robots and Systems (IROS).”</w:t>
      </w:r>
      <w:r>
        <w:t xml:space="preserve"> </w:t>
      </w:r>
      <w:r>
        <w:t xml:space="preserve">In, 3042–47. Daejeon, South Korea: IEEE.</w:t>
      </w:r>
      <w:r>
        <w:t xml:space="preserve"> </w:t>
      </w:r>
      <w:hyperlink r:id="rId119">
        <w:r>
          <w:rPr>
            <w:rStyle w:val="Hyperlink"/>
          </w:rPr>
          <w:t xml:space="preserve">https://doi.org/10.1109/IROS.2016.7759471</w:t>
        </w:r>
      </w:hyperlink>
      <w:r>
        <w:t xml:space="preserve">.</w:t>
      </w:r>
    </w:p>
    <w:bookmarkEnd w:id="120"/>
    <w:bookmarkStart w:id="122" w:name="ref-dubois-sage2024"/>
    <w:p>
      <w:pPr>
        <w:pStyle w:val="Bibliography"/>
      </w:pPr>
      <w:r>
        <w:t xml:space="preserve">Dubois-Sage, Marion, Baptiste Jacquet, Frank Jamet, and Jean Baratgin. 2024.</w:t>
      </w:r>
      <w:r>
        <w:t xml:space="preserve"> </w:t>
      </w:r>
      <w:r>
        <w:t xml:space="preserve">“People with Autism Spectrum Disorder Could Interact More Easily with a Robot Than with a Human: Reasons and Limits.”</w:t>
      </w:r>
      <w:r>
        <w:t xml:space="preserve"> </w:t>
      </w:r>
      <w:r>
        <w:rPr>
          <w:i/>
          <w:iCs/>
        </w:rPr>
        <w:t xml:space="preserve">Behavioral Sciences</w:t>
      </w:r>
      <w:r>
        <w:t xml:space="preserve"> </w:t>
      </w:r>
      <w:r>
        <w:t xml:space="preserve">2 (2): 131.</w:t>
      </w:r>
      <w:r>
        <w:t xml:space="preserve"> </w:t>
      </w:r>
      <w:hyperlink r:id="rId121">
        <w:r>
          <w:rPr>
            <w:rStyle w:val="Hyperlink"/>
          </w:rPr>
          <w:t xml:space="preserve">https://doi.org/10.3390/bs14020131</w:t>
        </w:r>
      </w:hyperlink>
      <w:r>
        <w:t xml:space="preserve">.</w:t>
      </w:r>
    </w:p>
    <w:bookmarkEnd w:id="122"/>
    <w:bookmarkStart w:id="124" w:name="ref-earl2016"/>
    <w:p>
      <w:pPr>
        <w:pStyle w:val="Bibliography"/>
      </w:pPr>
      <w:r>
        <w:t xml:space="preserve">Earl, Robyn, Torbjorn Falkmer, Sonya Girdler, Joakim Dahlman, Anette Rehnberg, and Marita Falkmer. 2016.</w:t>
      </w:r>
      <w:r>
        <w:t xml:space="preserve"> </w:t>
      </w:r>
      <w:r>
        <w:t xml:space="preserve">“Visual Search Strategies of Pedestrians with and Without Visual and Cognitive Impairments in a Shared Zone: A Proof of Concept Study.”</w:t>
      </w:r>
      <w:r>
        <w:t xml:space="preserve"> </w:t>
      </w:r>
      <w:r>
        <w:rPr>
          <w:i/>
          <w:iCs/>
        </w:rPr>
        <w:t xml:space="preserve">Land Use Policy</w:t>
      </w:r>
      <w:r>
        <w:t xml:space="preserve"> </w:t>
      </w:r>
      <w:r>
        <w:t xml:space="preserve">57 (November): 327–34.</w:t>
      </w:r>
      <w:r>
        <w:t xml:space="preserve"> </w:t>
      </w:r>
      <w:hyperlink r:id="rId123">
        <w:r>
          <w:rPr>
            <w:rStyle w:val="Hyperlink"/>
          </w:rPr>
          <w:t xml:space="preserve">https://doi.org/10.1016/j.landusepol.2016.06.009</w:t>
        </w:r>
      </w:hyperlink>
      <w:r>
        <w:t xml:space="preserve">.</w:t>
      </w:r>
    </w:p>
    <w:bookmarkEnd w:id="124"/>
    <w:bookmarkStart w:id="126" w:name="ref-earl2018"/>
    <w:p>
      <w:pPr>
        <w:pStyle w:val="Bibliography"/>
      </w:pPr>
      <w:r>
        <w:t xml:space="preserve">Earl, Robyn, Torbjorn Falkmer, Sonya Girdler, Susan L. Morris, and Marita Falkmer. 2018.</w:t>
      </w:r>
      <w:r>
        <w:t xml:space="preserve"> </w:t>
      </w:r>
      <w:r>
        <w:t xml:space="preserve">“Viewpoints of pedestrians with and without cognitive impairment on shared zones and zebra crossings.”</w:t>
      </w:r>
      <w:r>
        <w:t xml:space="preserve"> </w:t>
      </w:r>
      <w:r>
        <w:rPr>
          <w:i/>
          <w:iCs/>
        </w:rPr>
        <w:t xml:space="preserve">PloS One</w:t>
      </w:r>
      <w:r>
        <w:t xml:space="preserve"> </w:t>
      </w:r>
      <w:r>
        <w:t xml:space="preserve">13 (9): e0203765.</w:t>
      </w:r>
      <w:r>
        <w:t xml:space="preserve"> </w:t>
      </w:r>
      <w:hyperlink r:id="rId125">
        <w:r>
          <w:rPr>
            <w:rStyle w:val="Hyperlink"/>
          </w:rPr>
          <w:t xml:space="preserve">https://doi.org/10.1371/journal.pone.0203765</w:t>
        </w:r>
      </w:hyperlink>
      <w:r>
        <w:t xml:space="preserve">.</w:t>
      </w:r>
    </w:p>
    <w:bookmarkEnd w:id="126"/>
    <w:bookmarkStart w:id="128" w:name="ref-ekblad2013"/>
    <w:p>
      <w:pPr>
        <w:pStyle w:val="Bibliography"/>
      </w:pPr>
      <w:r>
        <w:t xml:space="preserve">Ekblad, Leif. 2013.</w:t>
      </w:r>
      <w:r>
        <w:t xml:space="preserve"> </w:t>
      </w:r>
      <w:r>
        <w:t xml:space="preserve">“Autism, Personality, and Human Diversity: Defining Neurodiversity in an Iterative Process Using Aspie Quiz.”</w:t>
      </w:r>
      <w:r>
        <w:t xml:space="preserve"> </w:t>
      </w:r>
      <w:r>
        <w:rPr>
          <w:i/>
          <w:iCs/>
        </w:rPr>
        <w:t xml:space="preserve">SAGE Open</w:t>
      </w:r>
      <w:r>
        <w:t xml:space="preserve"> </w:t>
      </w:r>
      <w:r>
        <w:t xml:space="preserve">3 (3): 2158244013497722.</w:t>
      </w:r>
      <w:r>
        <w:t xml:space="preserve"> </w:t>
      </w:r>
      <w:hyperlink r:id="rId127">
        <w:r>
          <w:rPr>
            <w:rStyle w:val="Hyperlink"/>
          </w:rPr>
          <w:t xml:space="preserve">https://doi.org/10.1177/2158244013497722</w:t>
        </w:r>
      </w:hyperlink>
      <w:r>
        <w:t xml:space="preserve">.</w:t>
      </w:r>
    </w:p>
    <w:bookmarkEnd w:id="128"/>
    <w:bookmarkStart w:id="130" w:name="ref-fishburn2019"/>
    <w:p>
      <w:pPr>
        <w:pStyle w:val="Bibliography"/>
      </w:pPr>
      <w:r>
        <w:t xml:space="preserve">Fishburn, Frank A., Ruth S. Ludlum, Chandan J. Vaidya, and Andrei V. Medvedev. 2019.</w:t>
      </w:r>
      <w:r>
        <w:t xml:space="preserve"> </w:t>
      </w:r>
      <w:r>
        <w:t xml:space="preserve">“Temporal Derivative Distribution Repair (TDDR): A Motion Correction Method for fNIRS.”</w:t>
      </w:r>
      <w:r>
        <w:t xml:space="preserve"> </w:t>
      </w:r>
      <w:r>
        <w:rPr>
          <w:i/>
          <w:iCs/>
        </w:rPr>
        <w:t xml:space="preserve">NeuroImage</w:t>
      </w:r>
      <w:r>
        <w:t xml:space="preserve"> </w:t>
      </w:r>
      <w:r>
        <w:t xml:space="preserve">184 (January): 171–79.</w:t>
      </w:r>
      <w:r>
        <w:t xml:space="preserve"> </w:t>
      </w:r>
      <w:hyperlink r:id="rId129">
        <w:r>
          <w:rPr>
            <w:rStyle w:val="Hyperlink"/>
          </w:rPr>
          <w:t xml:space="preserve">https://doi.org/10.1016/j.neuroimage.2018.09.025</w:t>
        </w:r>
      </w:hyperlink>
      <w:r>
        <w:t xml:space="preserve">.</w:t>
      </w:r>
    </w:p>
    <w:bookmarkEnd w:id="130"/>
    <w:bookmarkStart w:id="132" w:name="ref-frith2001"/>
    <w:p>
      <w:pPr>
        <w:pStyle w:val="Bibliography"/>
      </w:pPr>
      <w:r>
        <w:t xml:space="preserve">Frith, U. 2001.</w:t>
      </w:r>
      <w:r>
        <w:t xml:space="preserve"> </w:t>
      </w:r>
      <w:r>
        <w:t xml:space="preserve">“Mind blindness and the brain in autism.”</w:t>
      </w:r>
      <w:r>
        <w:t xml:space="preserve"> </w:t>
      </w:r>
      <w:r>
        <w:rPr>
          <w:i/>
          <w:iCs/>
        </w:rPr>
        <w:t xml:space="preserve">Neuron</w:t>
      </w:r>
      <w:r>
        <w:t xml:space="preserve"> </w:t>
      </w:r>
      <w:r>
        <w:t xml:space="preserve">32 (6): 969–79.</w:t>
      </w:r>
      <w:r>
        <w:t xml:space="preserve"> </w:t>
      </w:r>
      <w:hyperlink r:id="rId131">
        <w:r>
          <w:rPr>
            <w:rStyle w:val="Hyperlink"/>
          </w:rPr>
          <w:t xml:space="preserve">https://doi.org/10.1016/s0896-6273(01)00552-9</w:t>
        </w:r>
      </w:hyperlink>
      <w:r>
        <w:t xml:space="preserve">.</w:t>
      </w:r>
    </w:p>
    <w:bookmarkEnd w:id="132"/>
    <w:bookmarkStart w:id="133" w:name="ref-globals2023"/>
    <w:p>
      <w:pPr>
        <w:pStyle w:val="Bibliography"/>
      </w:pPr>
      <w:r>
        <w:rPr>
          <w:i/>
          <w:iCs/>
        </w:rPr>
        <w:t xml:space="preserve">Global Status Report on Road Safety 2023</w:t>
      </w:r>
      <w:r>
        <w:t xml:space="preserve">. 2023. 1st ed. Geneva: World Health Organization.</w:t>
      </w:r>
    </w:p>
    <w:bookmarkEnd w:id="133"/>
    <w:bookmarkStart w:id="135" w:name="ref-goingou2023"/>
    <w:p>
      <w:pPr>
        <w:pStyle w:val="Bibliography"/>
      </w:pPr>
      <w:r>
        <w:t xml:space="preserve">“Going Our Own Way: Public Transit Accessibility for Neurodivergent People.”</w:t>
      </w:r>
      <w:r>
        <w:t xml:space="preserve"> </w:t>
      </w:r>
      <w:r>
        <w:t xml:space="preserve">2023.</w:t>
      </w:r>
      <w:r>
        <w:t xml:space="preserve"> </w:t>
      </w:r>
      <w:hyperlink r:id="rId134">
        <w:r>
          <w:rPr>
            <w:rStyle w:val="Hyperlink"/>
          </w:rPr>
          <w:t xml:space="preserve">https://rootedinrights.org/going-our-own-way-public-transit-accessibility-for-neurodivergent-people/</w:t>
        </w:r>
      </w:hyperlink>
      <w:r>
        <w:t xml:space="preserve">.</w:t>
      </w:r>
    </w:p>
    <w:bookmarkEnd w:id="135"/>
    <w:bookmarkStart w:id="137" w:name="ref-guth2005"/>
    <w:p>
      <w:pPr>
        <w:pStyle w:val="Bibliography"/>
      </w:pPr>
      <w:r>
        <w:t xml:space="preserve">Guth, David, Daniel Ashmead, Richard Long, Robert Wall, and Paul Ponchillia. 2005.</w:t>
      </w:r>
      <w:r>
        <w:t xml:space="preserve"> </w:t>
      </w:r>
      <w:r>
        <w:t xml:space="preserve">“Blind and Sighted Pedestrians’ Judgments of Gaps in Traffic at Roundabouts.”</w:t>
      </w:r>
      <w:r>
        <w:t xml:space="preserve"> </w:t>
      </w:r>
      <w:r>
        <w:rPr>
          <w:i/>
          <w:iCs/>
        </w:rPr>
        <w:t xml:space="preserve">Human Factors</w:t>
      </w:r>
      <w:r>
        <w:t xml:space="preserve"> </w:t>
      </w:r>
      <w:r>
        <w:t xml:space="preserve">47 (2): 314–31.</w:t>
      </w:r>
      <w:r>
        <w:t xml:space="preserve"> </w:t>
      </w:r>
      <w:hyperlink r:id="rId136">
        <w:r>
          <w:rPr>
            <w:rStyle w:val="Hyperlink"/>
          </w:rPr>
          <w:t xml:space="preserve">https://doi.org/10.1518/0018720054679533</w:t>
        </w:r>
      </w:hyperlink>
      <w:r>
        <w:t xml:space="preserve">.</w:t>
      </w:r>
    </w:p>
    <w:bookmarkEnd w:id="137"/>
    <w:bookmarkStart w:id="139" w:name="ref-hamilton-baillie2004"/>
    <w:p>
      <w:pPr>
        <w:pStyle w:val="Bibliography"/>
      </w:pPr>
      <w:r>
        <w:t xml:space="preserve">Hamilton-Baillie, Ben. 2004.</w:t>
      </w:r>
      <w:r>
        <w:t xml:space="preserve"> </w:t>
      </w:r>
      <w:r>
        <w:t xml:space="preserve">“Urban Design: Why Don’t We Do It in the Road? Modifying Traffic Behavior Through Legible Urban Design.”</w:t>
      </w:r>
      <w:r>
        <w:t xml:space="preserve"> </w:t>
      </w:r>
      <w:r>
        <w:rPr>
          <w:i/>
          <w:iCs/>
        </w:rPr>
        <w:t xml:space="preserve">Journal of Urban Technology</w:t>
      </w:r>
      <w:r>
        <w:t xml:space="preserve"> </w:t>
      </w:r>
      <w:r>
        <w:t xml:space="preserve">11 (1): 43–62.</w:t>
      </w:r>
      <w:r>
        <w:t xml:space="preserve"> </w:t>
      </w:r>
      <w:hyperlink r:id="rId138">
        <w:r>
          <w:rPr>
            <w:rStyle w:val="Hyperlink"/>
          </w:rPr>
          <w:t xml:space="preserve">https://doi.org/10.1080/1063073042000341970</w:t>
        </w:r>
      </w:hyperlink>
      <w:r>
        <w:t xml:space="preserve">.</w:t>
      </w:r>
    </w:p>
    <w:bookmarkEnd w:id="139"/>
    <w:bookmarkStart w:id="141" w:name="ref-hoshi2001"/>
    <w:p>
      <w:pPr>
        <w:pStyle w:val="Bibliography"/>
      </w:pPr>
      <w:r>
        <w:t xml:space="preserve">Hoshi, Yoko, Norio Kobayashi, and Mamoru Tamura. 2001.</w:t>
      </w:r>
      <w:r>
        <w:t xml:space="preserve"> </w:t>
      </w:r>
      <w:r>
        <w:t xml:space="preserve">“Interpretation of Near-Infrared Spectroscopy Signals: A Study with a Newly Developed Perfused Rat Brain Model.”</w:t>
      </w:r>
      <w:r>
        <w:t xml:space="preserve"> </w:t>
      </w:r>
      <w:r>
        <w:rPr>
          <w:i/>
          <w:iCs/>
        </w:rPr>
        <w:t xml:space="preserve">Journal of Applied Physiology</w:t>
      </w:r>
      <w:r>
        <w:t xml:space="preserve"> </w:t>
      </w:r>
      <w:r>
        <w:t xml:space="preserve">90 (5): 1657–62.</w:t>
      </w:r>
      <w:r>
        <w:t xml:space="preserve"> </w:t>
      </w:r>
      <w:hyperlink r:id="rId140">
        <w:r>
          <w:rPr>
            <w:rStyle w:val="Hyperlink"/>
          </w:rPr>
          <w:t xml:space="preserve">https://doi.org/10.1152/jappl.2001.90.5.1657</w:t>
        </w:r>
      </w:hyperlink>
      <w:r>
        <w:t xml:space="preserve">.</w:t>
      </w:r>
    </w:p>
    <w:bookmarkEnd w:id="141"/>
    <w:bookmarkStart w:id="143" w:name="ref-kocsis2006"/>
    <w:p>
      <w:pPr>
        <w:pStyle w:val="Bibliography"/>
      </w:pPr>
      <w:r>
        <w:t xml:space="preserve">Kocsis, L, P Herman, and A Eke. 2006.</w:t>
      </w:r>
      <w:r>
        <w:t xml:space="preserve"> </w:t>
      </w:r>
      <w:r>
        <w:t xml:space="preserve">“The Modified Beer</w:t>
      </w:r>
      <w:r>
        <w:t xml:space="preserve">Lambert Law Revisited.”</w:t>
      </w:r>
      <w:r>
        <w:t xml:space="preserve"> </w:t>
      </w:r>
      <w:r>
        <w:rPr>
          <w:i/>
          <w:iCs/>
        </w:rPr>
        <w:t xml:space="preserve">Physics in Medicine and Biology</w:t>
      </w:r>
      <w:r>
        <w:t xml:space="preserve"> </w:t>
      </w:r>
      <w:r>
        <w:t xml:space="preserve">51 (5): N91–98.</w:t>
      </w:r>
      <w:r>
        <w:t xml:space="preserve"> </w:t>
      </w:r>
      <w:hyperlink r:id="rId142">
        <w:r>
          <w:rPr>
            <w:rStyle w:val="Hyperlink"/>
          </w:rPr>
          <w:t xml:space="preserve">https://doi.org/10.1088/0031-9155/51/5/N02</w:t>
        </w:r>
      </w:hyperlink>
      <w:r>
        <w:t xml:space="preserve">.</w:t>
      </w:r>
    </w:p>
    <w:bookmarkEnd w:id="143"/>
    <w:bookmarkStart w:id="145" w:name="ref-labstrea"/>
    <w:p>
      <w:pPr>
        <w:pStyle w:val="Bibliography"/>
      </w:pPr>
      <w:r>
        <w:t xml:space="preserve">“LabStreamingLayer</w:t>
      </w:r>
      <w:r>
        <w:t xml:space="preserve">’</w:t>
      </w:r>
      <w:r>
        <w:t xml:space="preserve">s Documentation</w:t>
      </w:r>
      <w:r>
        <w:t xml:space="preserve"> </w:t>
      </w:r>
      <w:r>
        <w:t xml:space="preserve"> </w:t>
      </w:r>
      <w:r>
        <w:t xml:space="preserve">Labstreaminglayer 1.13 Documentation.”</w:t>
      </w:r>
      <w:r>
        <w:t xml:space="preserve"> </w:t>
      </w:r>
      <w:r>
        <w:t xml:space="preserve">n.d.</w:t>
      </w:r>
      <w:r>
        <w:t xml:space="preserve"> </w:t>
      </w:r>
      <w:hyperlink r:id="rId144">
        <w:r>
          <w:rPr>
            <w:rStyle w:val="Hyperlink"/>
          </w:rPr>
          <w:t xml:space="preserve">https://labstreaminglayer.readthedocs.io/</w:t>
        </w:r>
      </w:hyperlink>
      <w:r>
        <w:t xml:space="preserve">.</w:t>
      </w:r>
    </w:p>
    <w:bookmarkEnd w:id="145"/>
    <w:bookmarkStart w:id="147" w:name="ref-liu2019"/>
    <w:p>
      <w:pPr>
        <w:pStyle w:val="Bibliography"/>
      </w:pPr>
      <w:r>
        <w:t xml:space="preserve">Liu, Tao, Xingchen Liu, Li Yi, Chaozhe Zhu, Patrick S. Markey, and Matthew Pelowski. 2019.</w:t>
      </w:r>
      <w:r>
        <w:t xml:space="preserve"> </w:t>
      </w:r>
      <w:r>
        <w:t xml:space="preserve">“Assessing Autism at Its Social and Developmental Roots: A Review of Autism Spectrum Disorder Studies Using Functional Near-Infrared Spectroscopy.”</w:t>
      </w:r>
      <w:r>
        <w:t xml:space="preserve"> </w:t>
      </w:r>
      <w:r>
        <w:rPr>
          <w:i/>
          <w:iCs/>
        </w:rPr>
        <w:t xml:space="preserve">NeuroImage</w:t>
      </w:r>
      <w:r>
        <w:t xml:space="preserve"> </w:t>
      </w:r>
      <w:r>
        <w:t xml:space="preserve">185 (January): 955–67.</w:t>
      </w:r>
      <w:r>
        <w:t xml:space="preserve"> </w:t>
      </w:r>
      <w:hyperlink r:id="rId146">
        <w:r>
          <w:rPr>
            <w:rStyle w:val="Hyperlink"/>
          </w:rPr>
          <w:t xml:space="preserve">https://doi.org/10.1016/j.neuroimage.2017.09.044</w:t>
        </w:r>
      </w:hyperlink>
      <w:r>
        <w:t xml:space="preserve">.</w:t>
      </w:r>
    </w:p>
    <w:bookmarkEnd w:id="147"/>
    <w:bookmarkStart w:id="149" w:name="ref-lombardo2011"/>
    <w:p>
      <w:pPr>
        <w:pStyle w:val="Bibliography"/>
      </w:pPr>
      <w:r>
        <w:t xml:space="preserve">Lombardo, Michael V., Bhismadev Chakrabarti, Edward T. Bullmore, and Simon Baron-Cohen. 2011.</w:t>
      </w:r>
      <w:r>
        <w:t xml:space="preserve"> </w:t>
      </w:r>
      <w:r>
        <w:t xml:space="preserve">“Specialization of Right Temporo-Parietal Junction for Mentalizing and Its Relation to Social Impairments in Autism.”</w:t>
      </w:r>
      <w:r>
        <w:t xml:space="preserve"> </w:t>
      </w:r>
      <w:r>
        <w:rPr>
          <w:i/>
          <w:iCs/>
        </w:rPr>
        <w:t xml:space="preserve">NeuroImage</w:t>
      </w:r>
      <w:r>
        <w:t xml:space="preserve"> </w:t>
      </w:r>
      <w:r>
        <w:t xml:space="preserve">56 (3): 1832–38.</w:t>
      </w:r>
      <w:r>
        <w:t xml:space="preserve"> </w:t>
      </w:r>
      <w:hyperlink r:id="rId148">
        <w:r>
          <w:rPr>
            <w:rStyle w:val="Hyperlink"/>
          </w:rPr>
          <w:t xml:space="preserve">https://doi.org/10.1016/j.neuroimage.2011.02.067</w:t>
        </w:r>
      </w:hyperlink>
      <w:r>
        <w:t xml:space="preserve">.</w:t>
      </w:r>
    </w:p>
    <w:bookmarkEnd w:id="149"/>
    <w:bookmarkStart w:id="151" w:name="ref-lord2018"/>
    <w:p>
      <w:pPr>
        <w:pStyle w:val="Bibliography"/>
      </w:pPr>
      <w:r>
        <w:t xml:space="preserve">Lord, Catherine, Mayada Elsabbagh, Gillian Baird, and Jeremy Veenstra-Vanderweele. 2018.</w:t>
      </w:r>
      <w:r>
        <w:t xml:space="preserve"> </w:t>
      </w:r>
      <w:r>
        <w:t xml:space="preserve">“Autism Spectrum Disorder.”</w:t>
      </w:r>
      <w:r>
        <w:t xml:space="preserve"> </w:t>
      </w:r>
      <w:r>
        <w:rPr>
          <w:i/>
          <w:iCs/>
        </w:rPr>
        <w:t xml:space="preserve">The Lancet</w:t>
      </w:r>
      <w:r>
        <w:t xml:space="preserve"> </w:t>
      </w:r>
      <w:r>
        <w:t xml:space="preserve">392 (10146): 508–20.</w:t>
      </w:r>
      <w:r>
        <w:t xml:space="preserve"> </w:t>
      </w:r>
      <w:hyperlink r:id="rId150">
        <w:r>
          <w:rPr>
            <w:rStyle w:val="Hyperlink"/>
          </w:rPr>
          <w:t xml:space="preserve">https://doi.org/10.1016/S0140-6736(18)31129-2</w:t>
        </w:r>
      </w:hyperlink>
      <w:r>
        <w:t xml:space="preserve">.</w:t>
      </w:r>
    </w:p>
    <w:bookmarkEnd w:id="151"/>
    <w:bookmarkStart w:id="153" w:name="ref-nijhof2018"/>
    <w:p>
      <w:pPr>
        <w:pStyle w:val="Bibliography"/>
      </w:pPr>
      <w:r>
        <w:t xml:space="preserve">Nijhof, Annabel D., Lara Bardi, Marcel Brass, and Jan R. Wiersema. 2018.</w:t>
      </w:r>
      <w:r>
        <w:t xml:space="preserve"> </w:t>
      </w:r>
      <w:r>
        <w:t xml:space="preserve">“Brain Activity for Spontaneous and Explicit Mentalizing in Adults with Autism Spectrum Disorder: An fMRI Study.”</w:t>
      </w:r>
      <w:r>
        <w:t xml:space="preserve"> </w:t>
      </w:r>
      <w:r>
        <w:rPr>
          <w:i/>
          <w:iCs/>
        </w:rPr>
        <w:t xml:space="preserve">NeuroImage: Clinical</w:t>
      </w:r>
      <w:r>
        <w:t xml:space="preserve"> </w:t>
      </w:r>
      <w:r>
        <w:t xml:space="preserve">18 (January): 475–84.</w:t>
      </w:r>
      <w:r>
        <w:t xml:space="preserve"> </w:t>
      </w:r>
      <w:hyperlink r:id="rId152">
        <w:r>
          <w:rPr>
            <w:rStyle w:val="Hyperlink"/>
          </w:rPr>
          <w:t xml:space="preserve">https://doi.org/10.1016/j.nicl.2018.02.016</w:t>
        </w:r>
      </w:hyperlink>
      <w:r>
        <w:t xml:space="preserve">.</w:t>
      </w:r>
    </w:p>
    <w:bookmarkEnd w:id="153"/>
    <w:bookmarkStart w:id="154" w:name="ref-organization2019"/>
    <w:p>
      <w:pPr>
        <w:pStyle w:val="Bibliography"/>
      </w:pPr>
      <w:r>
        <w:t xml:space="preserve">Organization, World Health. 2019.</w:t>
      </w:r>
      <w:r>
        <w:t xml:space="preserve"> </w:t>
      </w:r>
      <w:r>
        <w:rPr>
          <w:i/>
          <w:iCs/>
        </w:rPr>
        <w:t xml:space="preserve">Global Status Report on Road Safety 2018</w:t>
      </w:r>
      <w:r>
        <w:t xml:space="preserve">. World Health Organization.</w:t>
      </w:r>
    </w:p>
    <w:bookmarkEnd w:id="154"/>
    <w:bookmarkStart w:id="156" w:name="ref-pantelis2014"/>
    <w:p>
      <w:pPr>
        <w:pStyle w:val="Bibliography"/>
      </w:pPr>
      <w:r>
        <w:t xml:space="preserve">Pantelis, Peter C., Chris L. Baker, Steven A. Cholewiak, Kevin Sanik, Ari Weinstein, Chia-Chien Wu, Joshua B. Tenenbaum, and Jacob Feldman. 2014.</w:t>
      </w:r>
      <w:r>
        <w:t xml:space="preserve"> </w:t>
      </w:r>
      <w:r>
        <w:t xml:space="preserve">“Inferring the Intentional States of Autonomous Virtual Agents.”</w:t>
      </w:r>
      <w:r>
        <w:t xml:space="preserve"> </w:t>
      </w:r>
      <w:r>
        <w:rPr>
          <w:i/>
          <w:iCs/>
        </w:rPr>
        <w:t xml:space="preserve">Cognition</w:t>
      </w:r>
      <w:r>
        <w:t xml:space="preserve"> </w:t>
      </w:r>
      <w:r>
        <w:t xml:space="preserve">130 (3): 360–79.</w:t>
      </w:r>
      <w:r>
        <w:t xml:space="preserve"> </w:t>
      </w:r>
      <w:hyperlink r:id="rId155">
        <w:r>
          <w:rPr>
            <w:rStyle w:val="Hyperlink"/>
          </w:rPr>
          <w:t xml:space="preserve">https://doi.org/10.1016/j.cognition.2013.11.011</w:t>
        </w:r>
      </w:hyperlink>
      <w:r>
        <w:t xml:space="preserve">.</w:t>
      </w:r>
    </w:p>
    <w:bookmarkEnd w:id="156"/>
    <w:bookmarkStart w:id="158" w:name="ref-pantelis2011"/>
    <w:p>
      <w:pPr>
        <w:pStyle w:val="Bibliography"/>
      </w:pPr>
      <w:r>
        <w:t xml:space="preserve">Pantelis, Peter, Steven Cholewiak, Paul Ringstad, Kevin Sanik, Ari Weinstein, Chia-Chien Wu, and Jacob Feldman. 2011.</w:t>
      </w:r>
      <w:r>
        <w:t xml:space="preserve"> </w:t>
      </w:r>
      <w:r>
        <w:t xml:space="preserve">“Perception of Intentions and Mental States in Autonomous Virtual Agents.”</w:t>
      </w:r>
      <w:r>
        <w:t xml:space="preserve"> </w:t>
      </w:r>
      <w:r>
        <w:rPr>
          <w:i/>
          <w:iCs/>
        </w:rPr>
        <w:t xml:space="preserve">Journal of Vision</w:t>
      </w:r>
      <w:r>
        <w:t xml:space="preserve"> </w:t>
      </w:r>
      <w:r>
        <w:t xml:space="preserve">11 (11): 733.</w:t>
      </w:r>
      <w:r>
        <w:t xml:space="preserve"> </w:t>
      </w:r>
      <w:hyperlink r:id="rId157">
        <w:r>
          <w:rPr>
            <w:rStyle w:val="Hyperlink"/>
          </w:rPr>
          <w:t xml:space="preserve">https://doi.org/10.1167/11.11.733</w:t>
        </w:r>
      </w:hyperlink>
      <w:r>
        <w:t xml:space="preserve">.</w:t>
      </w:r>
    </w:p>
    <w:bookmarkEnd w:id="158"/>
    <w:bookmarkStart w:id="160" w:name="ref-pierno2008"/>
    <w:p>
      <w:pPr>
        <w:pStyle w:val="Bibliography"/>
      </w:pPr>
      <w:r>
        <w:t xml:space="preserve">Pierno, Andrea C., Morena Mari, Dean Lusher, and Umberto Castiello. 2008.</w:t>
      </w:r>
      <w:r>
        <w:t xml:space="preserve"> </w:t>
      </w:r>
      <w:r>
        <w:t xml:space="preserve">“Robotic Movement Elicits Visuomotor Priming in Children with Autism.”</w:t>
      </w:r>
      <w:r>
        <w:t xml:space="preserve"> </w:t>
      </w:r>
      <w:r>
        <w:rPr>
          <w:i/>
          <w:iCs/>
        </w:rPr>
        <w:t xml:space="preserve">Neuropsychologia</w:t>
      </w:r>
      <w:r>
        <w:t xml:space="preserve"> </w:t>
      </w:r>
      <w:r>
        <w:t xml:space="preserve">46 (2): 448–54.</w:t>
      </w:r>
      <w:r>
        <w:t xml:space="preserve"> </w:t>
      </w:r>
      <w:hyperlink r:id="rId159">
        <w:r>
          <w:rPr>
            <w:rStyle w:val="Hyperlink"/>
          </w:rPr>
          <w:t xml:space="preserve">https://doi.org/10.1016/j.neuropsychologia.2007.08.020</w:t>
        </w:r>
      </w:hyperlink>
      <w:r>
        <w:t xml:space="preserve">.</w:t>
      </w:r>
    </w:p>
    <w:bookmarkEnd w:id="160"/>
    <w:bookmarkStart w:id="162" w:name="ref-rezwana2024"/>
    <w:p>
      <w:pPr>
        <w:pStyle w:val="Bibliography"/>
      </w:pPr>
      <w:r>
        <w:t xml:space="preserve">Rezwana, Saki, and Nicholas Lownes. 2024.</w:t>
      </w:r>
      <w:r>
        <w:t xml:space="preserve"> </w:t>
      </w:r>
      <w:r>
        <w:t xml:space="preserve">“Interactions and Behaviors of Pedestrians with Autonomous Vehicles: A Synthesis.”</w:t>
      </w:r>
      <w:r>
        <w:t xml:space="preserve"> </w:t>
      </w:r>
      <w:r>
        <w:rPr>
          <w:i/>
          <w:iCs/>
        </w:rPr>
        <w:t xml:space="preserve">Future Transportation</w:t>
      </w:r>
      <w:r>
        <w:t xml:space="preserve"> </w:t>
      </w:r>
      <w:r>
        <w:t xml:space="preserve">4 (3): 722–45.</w:t>
      </w:r>
      <w:r>
        <w:t xml:space="preserve"> </w:t>
      </w:r>
      <w:hyperlink r:id="rId161">
        <w:r>
          <w:rPr>
            <w:rStyle w:val="Hyperlink"/>
          </w:rPr>
          <w:t xml:space="preserve">https://doi.org/10.3390/futuretransp4030034</w:t>
        </w:r>
      </w:hyperlink>
      <w:r>
        <w:t xml:space="preserve">.</w:t>
      </w:r>
    </w:p>
    <w:bookmarkEnd w:id="162"/>
    <w:bookmarkStart w:id="164" w:name="ref-saxe2006"/>
    <w:p>
      <w:pPr>
        <w:pStyle w:val="Bibliography"/>
      </w:pPr>
      <w:r>
        <w:t xml:space="preserve">Saxe, Rebecca, and Lindsey J. Powell. 2006.</w:t>
      </w:r>
      <w:r>
        <w:t xml:space="preserve"> </w:t>
      </w:r>
      <w:r>
        <w:t xml:space="preserve">“It’s the Thought That Counts: Specific Brain Regions for One Component of Theory of Mind.”</w:t>
      </w:r>
      <w:r>
        <w:t xml:space="preserve"> </w:t>
      </w:r>
      <w:r>
        <w:rPr>
          <w:i/>
          <w:iCs/>
        </w:rPr>
        <w:t xml:space="preserve">Psychological Science</w:t>
      </w:r>
      <w:r>
        <w:t xml:space="preserve"> </w:t>
      </w:r>
      <w:r>
        <w:t xml:space="preserve">17 (8): 692–99.</w:t>
      </w:r>
      <w:r>
        <w:t xml:space="preserve"> </w:t>
      </w:r>
      <w:hyperlink r:id="rId163">
        <w:r>
          <w:rPr>
            <w:rStyle w:val="Hyperlink"/>
          </w:rPr>
          <w:t xml:space="preserve">https://doi.org/10.1111/j.1467-9280.2006.01768.x</w:t>
        </w:r>
      </w:hyperlink>
      <w:r>
        <w:t xml:space="preserve">.</w:t>
      </w:r>
    </w:p>
    <w:bookmarkEnd w:id="164"/>
    <w:bookmarkStart w:id="166" w:name="ref-saxe2003"/>
    <w:p>
      <w:pPr>
        <w:pStyle w:val="Bibliography"/>
      </w:pPr>
      <w:r>
        <w:t xml:space="preserve">Saxe, R., and N. Kanwisher. 2003.</w:t>
      </w:r>
      <w:r>
        <w:t xml:space="preserve"> </w:t>
      </w:r>
      <w:r>
        <w:t xml:space="preserve">“People thinking about thinking people. The role of the temporo-parietal junction in</w:t>
      </w:r>
      <w:r>
        <w:t xml:space="preserve"> </w:t>
      </w:r>
      <w:r>
        <w:t xml:space="preserve">"</w:t>
      </w:r>
      <w:r>
        <w:t xml:space="preserve">theory of mind</w:t>
      </w:r>
      <w:r>
        <w:t xml:space="preserve">"</w:t>
      </w:r>
      <w:r>
        <w:t xml:space="preserve">.”</w:t>
      </w:r>
      <w:r>
        <w:t xml:space="preserve"> </w:t>
      </w:r>
      <w:r>
        <w:rPr>
          <w:i/>
          <w:iCs/>
        </w:rPr>
        <w:t xml:space="preserve">NeuroImage</w:t>
      </w:r>
      <w:r>
        <w:t xml:space="preserve"> </w:t>
      </w:r>
      <w:r>
        <w:t xml:space="preserve">19 (4): 1835–42.</w:t>
      </w:r>
      <w:r>
        <w:t xml:space="preserve"> </w:t>
      </w:r>
      <w:hyperlink r:id="rId165">
        <w:r>
          <w:rPr>
            <w:rStyle w:val="Hyperlink"/>
          </w:rPr>
          <w:t xml:space="preserve">https://doi.org/10.1016/s1053-8119(03)00230-1</w:t>
        </w:r>
      </w:hyperlink>
      <w:r>
        <w:t xml:space="preserve">.</w:t>
      </w:r>
    </w:p>
    <w:bookmarkEnd w:id="166"/>
    <w:bookmarkStart w:id="168" w:name="ref-scassellati2012"/>
    <w:p>
      <w:pPr>
        <w:pStyle w:val="Bibliography"/>
      </w:pPr>
      <w:r>
        <w:t xml:space="preserve">Scassellati, Brian, Henny Admoni, and Maja Matarić. 2012.</w:t>
      </w:r>
      <w:r>
        <w:t xml:space="preserve"> </w:t>
      </w:r>
      <w:r>
        <w:t xml:space="preserve">“Robots for Use in Autism Research.”</w:t>
      </w:r>
      <w:r>
        <w:t xml:space="preserve"> </w:t>
      </w:r>
      <w:r>
        <w:rPr>
          <w:i/>
          <w:iCs/>
        </w:rPr>
        <w:t xml:space="preserve">Annual Review of Biomedical Engineering</w:t>
      </w:r>
      <w:r>
        <w:t xml:space="preserve"> </w:t>
      </w:r>
      <w:r>
        <w:t xml:space="preserve">14 (Volume 14, 2012): 275–94.</w:t>
      </w:r>
      <w:r>
        <w:t xml:space="preserve"> </w:t>
      </w:r>
      <w:hyperlink r:id="rId167">
        <w:r>
          <w:rPr>
            <w:rStyle w:val="Hyperlink"/>
          </w:rPr>
          <w:t xml:space="preserve">https://doi.org/10.1146/annurev-bioeng-071811-150036</w:t>
        </w:r>
      </w:hyperlink>
      <w:r>
        <w:t xml:space="preserve">.</w:t>
      </w:r>
    </w:p>
    <w:bookmarkEnd w:id="168"/>
    <w:bookmarkStart w:id="170" w:name="ref-schurz2014"/>
    <w:p>
      <w:pPr>
        <w:pStyle w:val="Bibliography"/>
      </w:pPr>
      <w:r>
        <w:t xml:space="preserve">Schurz, Matthias, Joaquim Radua, Markus Aichhorn, Fabio Richlan, and Josef Perner. 2014.</w:t>
      </w:r>
      <w:r>
        <w:t xml:space="preserve"> </w:t>
      </w:r>
      <w:r>
        <w:t xml:space="preserve">“Fractionating Theory of Mind: A Meta-Analysis of Functional Brain Imaging Studies.”</w:t>
      </w:r>
      <w:r>
        <w:t xml:space="preserve"> </w:t>
      </w:r>
      <w:r>
        <w:rPr>
          <w:i/>
          <w:iCs/>
        </w:rPr>
        <w:t xml:space="preserve">Neuroscience &amp; Biobehavioral Reviews</w:t>
      </w:r>
      <w:r>
        <w:t xml:space="preserve"> </w:t>
      </w:r>
      <w:r>
        <w:t xml:space="preserve">42 (May): 9–34.</w:t>
      </w:r>
      <w:r>
        <w:t xml:space="preserve"> </w:t>
      </w:r>
      <w:hyperlink r:id="rId169">
        <w:r>
          <w:rPr>
            <w:rStyle w:val="Hyperlink"/>
          </w:rPr>
          <w:t xml:space="preserve">https://doi.org/10.1016/j.neubiorev.2014.01.009</w:t>
        </w:r>
      </w:hyperlink>
      <w:r>
        <w:t xml:space="preserve">.</w:t>
      </w:r>
    </w:p>
    <w:bookmarkEnd w:id="170"/>
    <w:bookmarkStart w:id="172" w:name="ref-schwartz2022"/>
    <w:p>
      <w:pPr>
        <w:pStyle w:val="Bibliography"/>
      </w:pPr>
      <w:r>
        <w:t xml:space="preserve">Schwartz, Naomi, Ron Buliung, Arslan Daniel, and Linda Rothman. 2022.</w:t>
      </w:r>
      <w:r>
        <w:t xml:space="preserve"> </w:t>
      </w:r>
      <w:r>
        <w:t xml:space="preserve">“Disability and Pedestrian Road Traffic Injury: A Scoping Review.”</w:t>
      </w:r>
      <w:r>
        <w:t xml:space="preserve"> </w:t>
      </w:r>
      <w:r>
        <w:rPr>
          <w:i/>
          <w:iCs/>
        </w:rPr>
        <w:t xml:space="preserve">Health &amp; Place</w:t>
      </w:r>
      <w:r>
        <w:t xml:space="preserve"> </w:t>
      </w:r>
      <w:r>
        <w:t xml:space="preserve">77 (September): 102896.</w:t>
      </w:r>
      <w:r>
        <w:t xml:space="preserve"> </w:t>
      </w:r>
      <w:hyperlink r:id="rId171">
        <w:r>
          <w:rPr>
            <w:rStyle w:val="Hyperlink"/>
          </w:rPr>
          <w:t xml:space="preserve">https://doi.org/10.1016/j.healthplace.2022.102896</w:t>
        </w:r>
      </w:hyperlink>
      <w:r>
        <w:t xml:space="preserve">.</w:t>
      </w:r>
    </w:p>
    <w:bookmarkEnd w:id="172"/>
    <w:bookmarkStart w:id="174" w:name="ref-talantseva2023"/>
    <w:p>
      <w:pPr>
        <w:pStyle w:val="Bibliography"/>
      </w:pPr>
      <w:r>
        <w:t xml:space="preserve">Talantseva, Oksana I., Raisa S. Romanova, Ekaterina M. Shurdova, Tatiana A. Dolgorukova, Polina S. Sologub, Olga S. Titova, Daria F. Kleeva, and Elena L. Grigorenko. 2023.</w:t>
      </w:r>
      <w:r>
        <w:t xml:space="preserve"> </w:t>
      </w:r>
      <w:r>
        <w:t xml:space="preserve">“The Global Prevalence of Autism Spectrum Disorder: A Three-Level Meta-Analysis.”</w:t>
      </w:r>
      <w:r>
        <w:t xml:space="preserve"> </w:t>
      </w:r>
      <w:r>
        <w:rPr>
          <w:i/>
          <w:iCs/>
        </w:rPr>
        <w:t xml:space="preserve">Frontiers in Psychiatry</w:t>
      </w:r>
      <w:r>
        <w:t xml:space="preserve"> </w:t>
      </w:r>
      <w:r>
        <w:t xml:space="preserve">14 (February).</w:t>
      </w:r>
      <w:r>
        <w:t xml:space="preserve"> </w:t>
      </w:r>
      <w:hyperlink r:id="rId173">
        <w:r>
          <w:rPr>
            <w:rStyle w:val="Hyperlink"/>
          </w:rPr>
          <w:t xml:space="preserve">https://doi.org/10.3389/fpsyt.2023.1071181</w:t>
        </w:r>
      </w:hyperlink>
      <w:r>
        <w:t xml:space="preserve">.</w:t>
      </w:r>
    </w:p>
    <w:bookmarkEnd w:id="174"/>
    <w:bookmarkStart w:id="176" w:name="ref-vanbrummelen2018"/>
    <w:p>
      <w:pPr>
        <w:pStyle w:val="Bibliography"/>
      </w:pPr>
      <w:r>
        <w:t xml:space="preserve">Van Brummelen, Jessica, Marie O’Brien, Dominique Gruyer, and Homayoun Najjaran. 2018.</w:t>
      </w:r>
      <w:r>
        <w:t xml:space="preserve"> </w:t>
      </w:r>
      <w:r>
        <w:t xml:space="preserve">“Autonomous Vehicle Perception: The Technology of Today and Tomorrow.”</w:t>
      </w:r>
      <w:r>
        <w:t xml:space="preserve"> </w:t>
      </w:r>
      <w:r>
        <w:rPr>
          <w:i/>
          <w:iCs/>
        </w:rPr>
        <w:t xml:space="preserve">Transportation Research Part C: Emerging Technologies</w:t>
      </w:r>
      <w:r>
        <w:t xml:space="preserve"> </w:t>
      </w:r>
      <w:r>
        <w:t xml:space="preserve">89 (April): 384–406.</w:t>
      </w:r>
      <w:r>
        <w:t xml:space="preserve"> </w:t>
      </w:r>
      <w:hyperlink r:id="rId175">
        <w:r>
          <w:rPr>
            <w:rStyle w:val="Hyperlink"/>
          </w:rPr>
          <w:t xml:space="preserve">https://doi.org/10.1016/j.trc.2018.02.012</w:t>
        </w:r>
      </w:hyperlink>
      <w:r>
        <w:t xml:space="preserve">.</w:t>
      </w:r>
    </w:p>
    <w:bookmarkEnd w:id="176"/>
    <w:bookmarkStart w:id="178" w:name="ref-vandecruys2014"/>
    <w:p>
      <w:pPr>
        <w:pStyle w:val="Bibliography"/>
      </w:pPr>
      <w:r>
        <w:t xml:space="preserve">Van de Cruys, Sander, Kris Evers, Ruth Van der Hallen, Lien Van Eylen, Bart Boets, Lee de-Wit, and Johan Wagemans. 2014.</w:t>
      </w:r>
      <w:r>
        <w:t xml:space="preserve"> </w:t>
      </w:r>
      <w:r>
        <w:t xml:space="preserve">“Precise minds in uncertain worlds: predictive coding in autism.”</w:t>
      </w:r>
      <w:r>
        <w:t xml:space="preserve"> </w:t>
      </w:r>
      <w:r>
        <w:rPr>
          <w:i/>
          <w:iCs/>
        </w:rPr>
        <w:t xml:space="preserve">Psychological Review</w:t>
      </w:r>
      <w:r>
        <w:t xml:space="preserve"> </w:t>
      </w:r>
      <w:r>
        <w:t xml:space="preserve">121 (4): 649–75.</w:t>
      </w:r>
      <w:r>
        <w:t xml:space="preserve"> </w:t>
      </w:r>
      <w:hyperlink r:id="rId177">
        <w:r>
          <w:rPr>
            <w:rStyle w:val="Hyperlink"/>
          </w:rPr>
          <w:t xml:space="preserve">https://doi.org/10.1037/a0037665</w:t>
        </w:r>
      </w:hyperlink>
      <w:r>
        <w:t xml:space="preserve">.</w:t>
      </w:r>
    </w:p>
    <w:bookmarkEnd w:id="178"/>
    <w:bookmarkStart w:id="180" w:name="ref-vanoverwalle2009"/>
    <w:p>
      <w:pPr>
        <w:pStyle w:val="Bibliography"/>
      </w:pPr>
      <w:r>
        <w:t xml:space="preserve">Van Overwalle, Frank, and Kris Baetens. 2009.</w:t>
      </w:r>
      <w:r>
        <w:t xml:space="preserve"> </w:t>
      </w:r>
      <w:r>
        <w:t xml:space="preserve">“Understanding Others’ Actions and Goals by Mirror and Mentalizing Systems: A Meta-Analysis.”</w:t>
      </w:r>
      <w:r>
        <w:t xml:space="preserve"> </w:t>
      </w:r>
      <w:r>
        <w:rPr>
          <w:i/>
          <w:iCs/>
        </w:rPr>
        <w:t xml:space="preserve">NeuroImage</w:t>
      </w:r>
      <w:r>
        <w:t xml:space="preserve"> </w:t>
      </w:r>
      <w:r>
        <w:t xml:space="preserve">48 (3): 564–84.</w:t>
      </w:r>
      <w:r>
        <w:t xml:space="preserve"> </w:t>
      </w:r>
      <w:hyperlink r:id="rId179">
        <w:r>
          <w:rPr>
            <w:rStyle w:val="Hyperlink"/>
          </w:rPr>
          <w:t xml:space="preserve">https://doi.org/10.1016/j.neuroimage.2009.06.009</w:t>
        </w:r>
      </w:hyperlink>
      <w:r>
        <w:t xml:space="preserve">.</w:t>
      </w:r>
    </w:p>
    <w:bookmarkEnd w:id="180"/>
    <w:bookmarkStart w:id="182" w:name="ref-villringer1997"/>
    <w:p>
      <w:pPr>
        <w:pStyle w:val="Bibliography"/>
      </w:pPr>
      <w:r>
        <w:t xml:space="preserve">Villringer, Arno, and Britton Chance. 1997.</w:t>
      </w:r>
      <w:r>
        <w:t xml:space="preserve"> </w:t>
      </w:r>
      <w:r>
        <w:t xml:space="preserve">“Non-Invasive Optical Spectroscopy and Imaging of Human Brain Function.”</w:t>
      </w:r>
      <w:r>
        <w:t xml:space="preserve"> </w:t>
      </w:r>
      <w:r>
        <w:rPr>
          <w:i/>
          <w:iCs/>
        </w:rPr>
        <w:t xml:space="preserve">Trends in Neurosciences</w:t>
      </w:r>
      <w:r>
        <w:t xml:space="preserve"> </w:t>
      </w:r>
      <w:r>
        <w:t xml:space="preserve">20 (10): 435–42.</w:t>
      </w:r>
      <w:r>
        <w:t xml:space="preserve"> </w:t>
      </w:r>
      <w:hyperlink r:id="rId181">
        <w:r>
          <w:rPr>
            <w:rStyle w:val="Hyperlink"/>
          </w:rPr>
          <w:t xml:space="preserve">https://doi.org/10.1016/S0166-2236(97)01132-6</w:t>
        </w:r>
      </w:hyperlink>
      <w:r>
        <w:t xml:space="preserve">.</w:t>
      </w:r>
    </w:p>
    <w:bookmarkEnd w:id="182"/>
    <w:bookmarkStart w:id="184" w:name="ref-wilmut2021"/>
    <w:p>
      <w:pPr>
        <w:pStyle w:val="Bibliography"/>
      </w:pPr>
      <w:r>
        <w:t xml:space="preserve">Wilmut, Kate, and Catherine Purcell. 2021.</w:t>
      </w:r>
      <w:r>
        <w:t xml:space="preserve"> </w:t>
      </w:r>
      <w:r>
        <w:t xml:space="preserve">“The Nature of the Risk Faced by Pedestrians with Neurodevelopmental Disorders: A Systematic Review.”</w:t>
      </w:r>
      <w:r>
        <w:t xml:space="preserve"> </w:t>
      </w:r>
      <w:r>
        <w:rPr>
          <w:i/>
          <w:iCs/>
        </w:rPr>
        <w:t xml:space="preserve">Accident Analysis &amp; Prevention</w:t>
      </w:r>
      <w:r>
        <w:t xml:space="preserve"> </w:t>
      </w:r>
      <w:r>
        <w:t xml:space="preserve">149 (January): 105886.</w:t>
      </w:r>
      <w:r>
        <w:t xml:space="preserve"> </w:t>
      </w:r>
      <w:hyperlink r:id="rId183">
        <w:r>
          <w:rPr>
            <w:rStyle w:val="Hyperlink"/>
          </w:rPr>
          <w:t xml:space="preserve">https://doi.org/10.1016/j.aap.2020.105886</w:t>
        </w:r>
      </w:hyperlink>
      <w:r>
        <w:t xml:space="preserve">.</w:t>
      </w:r>
    </w:p>
    <w:bookmarkEnd w:id="184"/>
    <w:bookmarkStart w:id="186" w:name="ref-xiang2006"/>
    <w:p>
      <w:pPr>
        <w:pStyle w:val="Bibliography"/>
      </w:pPr>
      <w:r>
        <w:t xml:space="preserve">Xiang, Huiyun, Motao Zhu, Sara A. Sinclair, Lorann Stallones, J. R. Wilkins, and Gary A. Smith. 2006.</w:t>
      </w:r>
      <w:r>
        <w:t xml:space="preserve"> </w:t>
      </w:r>
      <w:r>
        <w:t xml:space="preserve">“Risk of Vehicle</w:t>
      </w:r>
      <w:r>
        <w:t xml:space="preserve">pedestrian and Vehicle</w:t>
      </w:r>
      <w:r>
        <w:t xml:space="preserve">bicyclist Collisions Among Children with Disabilities.”</w:t>
      </w:r>
      <w:r>
        <w:t xml:space="preserve"> </w:t>
      </w:r>
      <w:r>
        <w:rPr>
          <w:i/>
          <w:iCs/>
        </w:rPr>
        <w:t xml:space="preserve">Accident Analysis &amp; Prevention</w:t>
      </w:r>
      <w:r>
        <w:t xml:space="preserve"> </w:t>
      </w:r>
      <w:r>
        <w:t xml:space="preserve">38 (6): 1064–70.</w:t>
      </w:r>
      <w:r>
        <w:t xml:space="preserve"> </w:t>
      </w:r>
      <w:hyperlink r:id="rId185">
        <w:r>
          <w:rPr>
            <w:rStyle w:val="Hyperlink"/>
          </w:rPr>
          <w:t xml:space="preserve">https://doi.org/10.1016/j.aap.2006.04.010</w:t>
        </w:r>
      </w:hyperlink>
      <w:r>
        <w:t xml:space="preserve">.</w:t>
      </w:r>
    </w:p>
    <w:bookmarkEnd w:id="186"/>
    <w:bookmarkStart w:id="188" w:name="ref-yarkoni2011"/>
    <w:p>
      <w:pPr>
        <w:pStyle w:val="Bibliography"/>
      </w:pPr>
      <w:r>
        <w:t xml:space="preserve">Yarkoni, Tal, Russell A. Poldrack, Thomas E. Nichols, David C. Van Essen, and Tor D. Wager. 2011.</w:t>
      </w:r>
      <w:r>
        <w:t xml:space="preserve"> </w:t>
      </w:r>
      <w:r>
        <w:t xml:space="preserve">“Large-Scale Automated Synthesis of Human Functional Neuroimaging Data.”</w:t>
      </w:r>
      <w:r>
        <w:t xml:space="preserve"> </w:t>
      </w:r>
      <w:r>
        <w:rPr>
          <w:i/>
          <w:iCs/>
        </w:rPr>
        <w:t xml:space="preserve">Nature Methods</w:t>
      </w:r>
      <w:r>
        <w:t xml:space="preserve"> </w:t>
      </w:r>
      <w:r>
        <w:t xml:space="preserve">8 (8): 665–70.</w:t>
      </w:r>
      <w:r>
        <w:t xml:space="preserve"> </w:t>
      </w:r>
      <w:hyperlink r:id="rId187">
        <w:r>
          <w:rPr>
            <w:rStyle w:val="Hyperlink"/>
          </w:rPr>
          <w:t xml:space="preserve">https://doi.org/10.1038/nmeth.1635</w:t>
        </w:r>
      </w:hyperlink>
      <w:r>
        <w:t xml:space="preserve">.</w:t>
      </w:r>
    </w:p>
    <w:bookmarkEnd w:id="188"/>
    <w:bookmarkStart w:id="190" w:name="ref-zachnoonan2023"/>
    <w:p>
      <w:pPr>
        <w:pStyle w:val="Bibliography"/>
      </w:pPr>
      <w:r>
        <w:t xml:space="preserve">Zach Noonan, T., Pnina Gershon, Josh Domeyer, Bruce Mehler, and Bryan Reimer. 2023.</w:t>
      </w:r>
      <w:r>
        <w:t xml:space="preserve"> </w:t>
      </w:r>
      <w:r>
        <w:t xml:space="preserve">“Kinematic Cues in Driver-Pedestrian Communication to Support Safe Road Crossing.”</w:t>
      </w:r>
      <w:r>
        <w:t xml:space="preserve"> </w:t>
      </w:r>
      <w:r>
        <w:rPr>
          <w:i/>
          <w:iCs/>
        </w:rPr>
        <w:t xml:space="preserve">Accident Analysis &amp; Prevention</w:t>
      </w:r>
      <w:r>
        <w:t xml:space="preserve"> </w:t>
      </w:r>
      <w:r>
        <w:t xml:space="preserve">192 (November): 107236.</w:t>
      </w:r>
      <w:r>
        <w:t xml:space="preserve"> </w:t>
      </w:r>
      <w:hyperlink r:id="rId189">
        <w:r>
          <w:rPr>
            <w:rStyle w:val="Hyperlink"/>
          </w:rPr>
          <w:t xml:space="preserve">https://doi.org/10.1016/j.aap.2023.107236</w:t>
        </w:r>
      </w:hyperlink>
      <w:r>
        <w:t xml:space="preserve">.</w:t>
      </w:r>
    </w:p>
    <w:bookmarkEnd w:id="190"/>
    <w:bookmarkStart w:id="192" w:name="ref-zadok2024"/>
    <w:p>
      <w:pPr>
        <w:pStyle w:val="Bibliography"/>
      </w:pPr>
      <w:r>
        <w:t xml:space="preserve">Zadok, Ester, Ofer Golan, Michal Lavidor, and Ilanit Gordon. 2024.</w:t>
      </w:r>
      <w:r>
        <w:t xml:space="preserve"> </w:t>
      </w:r>
      <w:r>
        <w:t xml:space="preserve">“Autonomic Nervous System Responses to Social Stimuli Among Autistic Individuals: A Systematic Review and Meta-Analysis.”</w:t>
      </w:r>
      <w:r>
        <w:t xml:space="preserve"> </w:t>
      </w:r>
      <w:r>
        <w:rPr>
          <w:i/>
          <w:iCs/>
        </w:rPr>
        <w:t xml:space="preserve">Autism Research</w:t>
      </w:r>
      <w:r>
        <w:t xml:space="preserve"> </w:t>
      </w:r>
      <w:r>
        <w:t xml:space="preserve">17 (3): 497–511.</w:t>
      </w:r>
      <w:r>
        <w:t xml:space="preserve"> </w:t>
      </w:r>
      <w:hyperlink r:id="rId191">
        <w:r>
          <w:rPr>
            <w:rStyle w:val="Hyperlink"/>
          </w:rPr>
          <w:t xml:space="preserve">https://doi.org/10.1002/aur.3068</w:t>
        </w:r>
      </w:hyperlink>
      <w:r>
        <w:t xml:space="preserve">.</w:t>
      </w:r>
    </w:p>
    <w:bookmarkEnd w:id="192"/>
    <w:bookmarkStart w:id="194" w:name="ref-zeidan2022"/>
    <w:p>
      <w:pPr>
        <w:pStyle w:val="Bibliography"/>
      </w:pPr>
      <w:r>
        <w:t xml:space="preserve">Zeidan, Jinan, Eric Fombonne, Julie Scorah, Alaa Ibrahim, Maureen S. Durkin, Shekhar Saxena, Afiqah Yusuf, Andy Shih, and Mayada Elsabbagh. 2022.</w:t>
      </w:r>
      <w:r>
        <w:t xml:space="preserve"> </w:t>
      </w:r>
      <w:r>
        <w:t xml:space="preserve">“Global prevalence of autism: A systematic review update.”</w:t>
      </w:r>
      <w:r>
        <w:t xml:space="preserve"> </w:t>
      </w:r>
      <w:r>
        <w:rPr>
          <w:i/>
          <w:iCs/>
        </w:rPr>
        <w:t xml:space="preserve">Autism Research: Official Journal of the International Society for Autism Research</w:t>
      </w:r>
      <w:r>
        <w:t xml:space="preserve"> </w:t>
      </w:r>
      <w:r>
        <w:t xml:space="preserve">15 (5): 778–90.</w:t>
      </w:r>
      <w:r>
        <w:t xml:space="preserve"> </w:t>
      </w:r>
      <w:hyperlink r:id="rId193">
        <w:r>
          <w:rPr>
            <w:rStyle w:val="Hyperlink"/>
          </w:rPr>
          <w:t xml:space="preserve">https://doi.org/10.1002/aur.2696</w:t>
        </w:r>
      </w:hyperlink>
      <w:r>
        <w:t xml:space="preserve">.</w:t>
      </w:r>
    </w:p>
    <w:bookmarkEnd w:id="194"/>
    <w:bookmarkStart w:id="196" w:name="ref-zhang2019"/>
    <w:p>
      <w:pPr>
        <w:pStyle w:val="Bibliography"/>
      </w:pPr>
      <w:r>
        <w:t xml:space="preserve">Zhang, Fen, and Herbert Roeyers. 2019.</w:t>
      </w:r>
      <w:r>
        <w:t xml:space="preserve"> </w:t>
      </w:r>
      <w:r>
        <w:t xml:space="preserve">“Exploring Brain Functions in Autism Spectrum Disorder: A Systematic Review on Functional Near-Infrared Spectroscopy (fNIRS) Studies.”</w:t>
      </w:r>
      <w:r>
        <w:t xml:space="preserve"> </w:t>
      </w:r>
      <w:r>
        <w:rPr>
          <w:i/>
          <w:iCs/>
        </w:rPr>
        <w:t xml:space="preserve">International Journal of Psychophysiology</w:t>
      </w:r>
      <w:r>
        <w:t xml:space="preserve"> </w:t>
      </w:r>
      <w:r>
        <w:t xml:space="preserve">137 (March): 41–53.</w:t>
      </w:r>
      <w:r>
        <w:t xml:space="preserve"> </w:t>
      </w:r>
      <w:hyperlink r:id="rId195">
        <w:r>
          <w:rPr>
            <w:rStyle w:val="Hyperlink"/>
          </w:rPr>
          <w:t xml:space="preserve">https://doi.org/10.1016/j.ijpsycho.2019.01.003</w:t>
        </w:r>
      </w:hyperlink>
      <w:r>
        <w:t xml:space="preserve">.</w:t>
      </w:r>
    </w:p>
    <w:bookmarkEnd w:id="196"/>
    <w:bookmarkStart w:id="198" w:name="ref-zhao2022"/>
    <w:p>
      <w:pPr>
        <w:pStyle w:val="Bibliography"/>
      </w:pPr>
      <w:r>
        <w:t xml:space="preserve">Zhao, Sijia, Yajie Liu, and Kunlin Wei. 2022.</w:t>
      </w:r>
      <w:r>
        <w:t xml:space="preserve"> </w:t>
      </w:r>
      <w:r>
        <w:t xml:space="preserve">“Pupil-Linked Arousal Response Reveals Aberrant Attention Regulation Among Children with Autism Spectrum Disorder.”</w:t>
      </w:r>
      <w:r>
        <w:t xml:space="preserve"> </w:t>
      </w:r>
      <w:r>
        <w:rPr>
          <w:i/>
          <w:iCs/>
        </w:rPr>
        <w:t xml:space="preserve">Journal of Neuroscience</w:t>
      </w:r>
      <w:r>
        <w:t xml:space="preserve"> </w:t>
      </w:r>
      <w:r>
        <w:t xml:space="preserve">42 (27): 5427–37.</w:t>
      </w:r>
      <w:r>
        <w:t xml:space="preserve"> </w:t>
      </w:r>
      <w:hyperlink r:id="rId197">
        <w:r>
          <w:rPr>
            <w:rStyle w:val="Hyperlink"/>
          </w:rPr>
          <w:t xml:space="preserve">https://doi.org/10.1523/JNEUROSCI.0223-22.2022</w:t>
        </w:r>
      </w:hyperlink>
      <w:r>
        <w:t xml:space="preserve">.</w:t>
      </w:r>
    </w:p>
    <w:bookmarkEnd w:id="198"/>
    <w:bookmarkStart w:id="200" w:name="ref-zimeomorais2018"/>
    <w:p>
      <w:pPr>
        <w:pStyle w:val="Bibliography"/>
      </w:pPr>
      <w:r>
        <w:t xml:space="preserve">Zimeo Morais, Guilherme Augusto, Joana Bisol Balardin, and João Ricardo Sato. 2018.</w:t>
      </w:r>
      <w:r>
        <w:t xml:space="preserve"> </w:t>
      </w:r>
      <w:r>
        <w:t xml:space="preserve">“fNIRS Optodes</w:t>
      </w:r>
      <w:r>
        <w:t xml:space="preserve">’</w:t>
      </w:r>
      <w:r>
        <w:t xml:space="preserve"> </w:t>
      </w:r>
      <w:r>
        <w:t xml:space="preserve">Location Decider (fOLD): A Toolbox for Probe Arrangement Guided by Brain Regions-of-Interest.”</w:t>
      </w:r>
      <w:r>
        <w:t xml:space="preserve"> </w:t>
      </w:r>
      <w:r>
        <w:rPr>
          <w:i/>
          <w:iCs/>
        </w:rPr>
        <w:t xml:space="preserve">Scientific Reports</w:t>
      </w:r>
      <w:r>
        <w:t xml:space="preserve"> </w:t>
      </w:r>
      <w:r>
        <w:t xml:space="preserve">8 (1): 3341.</w:t>
      </w:r>
      <w:r>
        <w:t xml:space="preserve"> </w:t>
      </w:r>
      <w:hyperlink r:id="rId199">
        <w:r>
          <w:rPr>
            <w:rStyle w:val="Hyperlink"/>
          </w:rPr>
          <w:t xml:space="preserve">https://doi.org/10.1038/s41598-018-21716-z</w:t>
        </w:r>
      </w:hyperlink>
      <w:r>
        <w:t xml:space="preserve">.</w:t>
      </w:r>
    </w:p>
    <w:bookmarkEnd w:id="200"/>
    <w:bookmarkEnd w:id="201"/>
    <w:bookmarkEnd w:id="202"/>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23" Target="media/rId23.png" /><Relationship Type="http://schemas.openxmlformats.org/officeDocument/2006/relationships/image" Id="rId37" Target="media/rId37.png" /><Relationship Type="http://schemas.openxmlformats.org/officeDocument/2006/relationships/image" Id="rId48" Target="media/rId48.png" /><Relationship Type="http://schemas.openxmlformats.org/officeDocument/2006/relationships/image" Id="rId81" Target="media/rId81.png" /><Relationship Type="http://schemas.openxmlformats.org/officeDocument/2006/relationships/image" Id="rId31" Target="media/rId31.png" /><Relationship Type="http://schemas.openxmlformats.org/officeDocument/2006/relationships/image" Id="rId90" Target="media/rId90.png" /><Relationship Type="http://schemas.openxmlformats.org/officeDocument/2006/relationships/image" Id="rId85" Target="media/rId85.png" /><Relationship Type="http://schemas.openxmlformats.org/officeDocument/2006/relationships/image" Id="rId60" Target="media/rId60.png" /><Relationship Type="http://schemas.openxmlformats.org/officeDocument/2006/relationships/image" Id="rId54" Target="media/rId54.png" /><Relationship Type="http://schemas.openxmlformats.org/officeDocument/2006/relationships/image" Id="rId70" Target="media/rId70.png" /><Relationship Type="http://schemas.openxmlformats.org/officeDocument/2006/relationships/image" Id="rId66" Target="media/rId66.png" /><Relationship Type="http://schemas.openxmlformats.org/officeDocument/2006/relationships/image" Id="rId75" Target="media/rId75.png" /><Relationship Type="http://schemas.openxmlformats.org/officeDocument/2006/relationships/image" Id="rId43" Target="media/rId43.png" /><Relationship Type="http://schemas.openxmlformats.org/officeDocument/2006/relationships/hyperlink" Id="rId193" Target="https://doi.org/10.1002/aur.2696" TargetMode="External" /><Relationship Type="http://schemas.openxmlformats.org/officeDocument/2006/relationships/hyperlink" Id="rId191" Target="https://doi.org/10.1002/aur.3068" TargetMode="External" /><Relationship Type="http://schemas.openxmlformats.org/officeDocument/2006/relationships/hyperlink" Id="rId108" Target="https://doi.org/10.1007/s10803-016-2992-1" TargetMode="External" /><Relationship Type="http://schemas.openxmlformats.org/officeDocument/2006/relationships/hyperlink" Id="rId112" Target="https://doi.org/10.1007/s10803-017-3178-1" TargetMode="External" /><Relationship Type="http://schemas.openxmlformats.org/officeDocument/2006/relationships/hyperlink" Id="rId106" Target="https://doi.org/10.1016/0010-0277(85)90022-8" TargetMode="External" /><Relationship Type="http://schemas.openxmlformats.org/officeDocument/2006/relationships/hyperlink" Id="rId150" Target="https://doi.org/10.1016/S0140-6736(18)31129-2" TargetMode="External" /><Relationship Type="http://schemas.openxmlformats.org/officeDocument/2006/relationships/hyperlink" Id="rId181" Target="https://doi.org/10.1016/S0166-2236(97)01132-6" TargetMode="External" /><Relationship Type="http://schemas.openxmlformats.org/officeDocument/2006/relationships/hyperlink" Id="rId104" Target="https://doi.org/10.1016/S0272-4944(05)80083-0" TargetMode="External" /><Relationship Type="http://schemas.openxmlformats.org/officeDocument/2006/relationships/hyperlink" Id="rId185" Target="https://doi.org/10.1016/j.aap.2006.04.010" TargetMode="External" /><Relationship Type="http://schemas.openxmlformats.org/officeDocument/2006/relationships/hyperlink" Id="rId183" Target="https://doi.org/10.1016/j.aap.2020.105886" TargetMode="External" /><Relationship Type="http://schemas.openxmlformats.org/officeDocument/2006/relationships/hyperlink" Id="rId189" Target="https://doi.org/10.1016/j.aap.2023.107236" TargetMode="External" /><Relationship Type="http://schemas.openxmlformats.org/officeDocument/2006/relationships/hyperlink" Id="rId155" Target="https://doi.org/10.1016/j.cognition.2013.11.011" TargetMode="External" /><Relationship Type="http://schemas.openxmlformats.org/officeDocument/2006/relationships/hyperlink" Id="rId171" Target="https://doi.org/10.1016/j.healthplace.2022.102896" TargetMode="External" /><Relationship Type="http://schemas.openxmlformats.org/officeDocument/2006/relationships/hyperlink" Id="rId195" Target="https://doi.org/10.1016/j.ijpsycho.2019.01.003" TargetMode="External" /><Relationship Type="http://schemas.openxmlformats.org/officeDocument/2006/relationships/hyperlink" Id="rId123" Target="https://doi.org/10.1016/j.landusepol.2016.06.009" TargetMode="External" /><Relationship Type="http://schemas.openxmlformats.org/officeDocument/2006/relationships/hyperlink" Id="rId169" Target="https://doi.org/10.1016/j.neubiorev.2014.01.009" TargetMode="External" /><Relationship Type="http://schemas.openxmlformats.org/officeDocument/2006/relationships/hyperlink" Id="rId179" Target="https://doi.org/10.1016/j.neuroimage.2009.06.009" TargetMode="External" /><Relationship Type="http://schemas.openxmlformats.org/officeDocument/2006/relationships/hyperlink" Id="rId148" Target="https://doi.org/10.1016/j.neuroimage.2011.02.067" TargetMode="External" /><Relationship Type="http://schemas.openxmlformats.org/officeDocument/2006/relationships/hyperlink" Id="rId146" Target="https://doi.org/10.1016/j.neuroimage.2017.09.044" TargetMode="External" /><Relationship Type="http://schemas.openxmlformats.org/officeDocument/2006/relationships/hyperlink" Id="rId129" Target="https://doi.org/10.1016/j.neuroimage.2018.09.025" TargetMode="External" /><Relationship Type="http://schemas.openxmlformats.org/officeDocument/2006/relationships/hyperlink" Id="rId159" Target="https://doi.org/10.1016/j.neuropsychologia.2007.08.020" TargetMode="External" /><Relationship Type="http://schemas.openxmlformats.org/officeDocument/2006/relationships/hyperlink" Id="rId152" Target="https://doi.org/10.1016/j.nicl.2018.02.016" TargetMode="External" /><Relationship Type="http://schemas.openxmlformats.org/officeDocument/2006/relationships/hyperlink" Id="rId117" Target="https://doi.org/10.1016/j.rasd.2011.05.006" TargetMode="External" /><Relationship Type="http://schemas.openxmlformats.org/officeDocument/2006/relationships/hyperlink" Id="rId175" Target="https://doi.org/10.1016/j.trc.2018.02.012" TargetMode="External" /><Relationship Type="http://schemas.openxmlformats.org/officeDocument/2006/relationships/hyperlink" Id="rId131" Target="https://doi.org/10.1016/s0896-6273(01)00552-9" TargetMode="External" /><Relationship Type="http://schemas.openxmlformats.org/officeDocument/2006/relationships/hyperlink" Id="rId165" Target="https://doi.org/10.1016/s1053-8119(03)00230-1" TargetMode="External" /><Relationship Type="http://schemas.openxmlformats.org/officeDocument/2006/relationships/hyperlink" Id="rId177" Target="https://doi.org/10.1037/a0037665" TargetMode="External" /><Relationship Type="http://schemas.openxmlformats.org/officeDocument/2006/relationships/hyperlink" Id="rId187" Target="https://doi.org/10.1038/nmeth.1635" TargetMode="External" /><Relationship Type="http://schemas.openxmlformats.org/officeDocument/2006/relationships/hyperlink" Id="rId199" Target="https://doi.org/10.1038/s41598-018-21716-z" TargetMode="External" /><Relationship Type="http://schemas.openxmlformats.org/officeDocument/2006/relationships/hyperlink" Id="rId110" Target="https://doi.org/10.1080/09638288.2017.1370498" TargetMode="External" /><Relationship Type="http://schemas.openxmlformats.org/officeDocument/2006/relationships/hyperlink" Id="rId138" Target="https://doi.org/10.1080/1063073042000341970" TargetMode="External" /><Relationship Type="http://schemas.openxmlformats.org/officeDocument/2006/relationships/hyperlink" Id="rId142" Target="https://doi.org/10.1088/0031-9155/51/5/N02" TargetMode="External" /><Relationship Type="http://schemas.openxmlformats.org/officeDocument/2006/relationships/hyperlink" Id="rId119" Target="https://doi.org/10.1109/IROS.2016.7759471" TargetMode="External" /><Relationship Type="http://schemas.openxmlformats.org/officeDocument/2006/relationships/hyperlink" Id="rId163" Target="https://doi.org/10.1111/j.1467-9280.2006.01768.x" TargetMode="External" /><Relationship Type="http://schemas.openxmlformats.org/officeDocument/2006/relationships/hyperlink" Id="rId167" Target="https://doi.org/10.1146/annurev-bioeng-071811-150036" TargetMode="External" /><Relationship Type="http://schemas.openxmlformats.org/officeDocument/2006/relationships/hyperlink" Id="rId140" Target="https://doi.org/10.1152/jappl.2001.90.5.1657" TargetMode="External" /><Relationship Type="http://schemas.openxmlformats.org/officeDocument/2006/relationships/hyperlink" Id="rId157" Target="https://doi.org/10.1167/11.11.733" TargetMode="External" /><Relationship Type="http://schemas.openxmlformats.org/officeDocument/2006/relationships/hyperlink" Id="rId127" Target="https://doi.org/10.1177/2158244013497722" TargetMode="External" /><Relationship Type="http://schemas.openxmlformats.org/officeDocument/2006/relationships/hyperlink" Id="rId125" Target="https://doi.org/10.1371/journal.pone.0203765" TargetMode="External" /><Relationship Type="http://schemas.openxmlformats.org/officeDocument/2006/relationships/hyperlink" Id="rId136" Target="https://doi.org/10.1518/0018720054679533" TargetMode="External" /><Relationship Type="http://schemas.openxmlformats.org/officeDocument/2006/relationships/hyperlink" Id="rId197" Target="https://doi.org/10.1523/JNEUROSCI.0223-22.2022" TargetMode="External" /><Relationship Type="http://schemas.openxmlformats.org/officeDocument/2006/relationships/hyperlink" Id="rId114" Target="https://doi.org/10.2307/2025382" TargetMode="External" /><Relationship Type="http://schemas.openxmlformats.org/officeDocument/2006/relationships/hyperlink" Id="rId173" Target="https://doi.org/10.3389/fpsyt.2023.1071181" TargetMode="External" /><Relationship Type="http://schemas.openxmlformats.org/officeDocument/2006/relationships/hyperlink" Id="rId121" Target="https://doi.org/10.3390/bs14020131" TargetMode="External" /><Relationship Type="http://schemas.openxmlformats.org/officeDocument/2006/relationships/hyperlink" Id="rId161" Target="https://doi.org/10.3390/futuretransp4030034" TargetMode="External" /><Relationship Type="http://schemas.openxmlformats.org/officeDocument/2006/relationships/hyperlink" Id="rId144" Target="https://labstreaminglayer.readthedocs.io/" TargetMode="External" /><Relationship Type="http://schemas.openxmlformats.org/officeDocument/2006/relationships/hyperlink" Id="rId21" Target="https://rdos.net/fr/" TargetMode="External" /><Relationship Type="http://schemas.openxmlformats.org/officeDocument/2006/relationships/hyperlink" Id="rId134" Target="https://rootedinrights.org/going-our-own-way-public-transit-accessibility-for-neurodivergent-people/" TargetMode="External" /></Relationships>
</file>

<file path=word/_rels/footnotes.xml.rels><?xml version="1.0" encoding="UTF-8"?><Relationships xmlns="http://schemas.openxmlformats.org/package/2006/relationships"><Relationship Type="http://schemas.openxmlformats.org/officeDocument/2006/relationships/hyperlink" Id="rId193" Target="https://doi.org/10.1002/aur.2696" TargetMode="External" /><Relationship Type="http://schemas.openxmlformats.org/officeDocument/2006/relationships/hyperlink" Id="rId191" Target="https://doi.org/10.1002/aur.3068" TargetMode="External" /><Relationship Type="http://schemas.openxmlformats.org/officeDocument/2006/relationships/hyperlink" Id="rId108" Target="https://doi.org/10.1007/s10803-016-2992-1" TargetMode="External" /><Relationship Type="http://schemas.openxmlformats.org/officeDocument/2006/relationships/hyperlink" Id="rId112" Target="https://doi.org/10.1007/s10803-017-3178-1" TargetMode="External" /><Relationship Type="http://schemas.openxmlformats.org/officeDocument/2006/relationships/hyperlink" Id="rId106" Target="https://doi.org/10.1016/0010-0277(85)90022-8" TargetMode="External" /><Relationship Type="http://schemas.openxmlformats.org/officeDocument/2006/relationships/hyperlink" Id="rId150" Target="https://doi.org/10.1016/S0140-6736(18)31129-2" TargetMode="External" /><Relationship Type="http://schemas.openxmlformats.org/officeDocument/2006/relationships/hyperlink" Id="rId181" Target="https://doi.org/10.1016/S0166-2236(97)01132-6" TargetMode="External" /><Relationship Type="http://schemas.openxmlformats.org/officeDocument/2006/relationships/hyperlink" Id="rId104" Target="https://doi.org/10.1016/S0272-4944(05)80083-0" TargetMode="External" /><Relationship Type="http://schemas.openxmlformats.org/officeDocument/2006/relationships/hyperlink" Id="rId185" Target="https://doi.org/10.1016/j.aap.2006.04.010" TargetMode="External" /><Relationship Type="http://schemas.openxmlformats.org/officeDocument/2006/relationships/hyperlink" Id="rId183" Target="https://doi.org/10.1016/j.aap.2020.105886" TargetMode="External" /><Relationship Type="http://schemas.openxmlformats.org/officeDocument/2006/relationships/hyperlink" Id="rId189" Target="https://doi.org/10.1016/j.aap.2023.107236" TargetMode="External" /><Relationship Type="http://schemas.openxmlformats.org/officeDocument/2006/relationships/hyperlink" Id="rId155" Target="https://doi.org/10.1016/j.cognition.2013.11.011" TargetMode="External" /><Relationship Type="http://schemas.openxmlformats.org/officeDocument/2006/relationships/hyperlink" Id="rId171" Target="https://doi.org/10.1016/j.healthplace.2022.102896" TargetMode="External" /><Relationship Type="http://schemas.openxmlformats.org/officeDocument/2006/relationships/hyperlink" Id="rId195" Target="https://doi.org/10.1016/j.ijpsycho.2019.01.003" TargetMode="External" /><Relationship Type="http://schemas.openxmlformats.org/officeDocument/2006/relationships/hyperlink" Id="rId123" Target="https://doi.org/10.1016/j.landusepol.2016.06.009" TargetMode="External" /><Relationship Type="http://schemas.openxmlformats.org/officeDocument/2006/relationships/hyperlink" Id="rId169" Target="https://doi.org/10.1016/j.neubiorev.2014.01.009" TargetMode="External" /><Relationship Type="http://schemas.openxmlformats.org/officeDocument/2006/relationships/hyperlink" Id="rId179" Target="https://doi.org/10.1016/j.neuroimage.2009.06.009" TargetMode="External" /><Relationship Type="http://schemas.openxmlformats.org/officeDocument/2006/relationships/hyperlink" Id="rId148" Target="https://doi.org/10.1016/j.neuroimage.2011.02.067" TargetMode="External" /><Relationship Type="http://schemas.openxmlformats.org/officeDocument/2006/relationships/hyperlink" Id="rId146" Target="https://doi.org/10.1016/j.neuroimage.2017.09.044" TargetMode="External" /><Relationship Type="http://schemas.openxmlformats.org/officeDocument/2006/relationships/hyperlink" Id="rId129" Target="https://doi.org/10.1016/j.neuroimage.2018.09.025" TargetMode="External" /><Relationship Type="http://schemas.openxmlformats.org/officeDocument/2006/relationships/hyperlink" Id="rId159" Target="https://doi.org/10.1016/j.neuropsychologia.2007.08.020" TargetMode="External" /><Relationship Type="http://schemas.openxmlformats.org/officeDocument/2006/relationships/hyperlink" Id="rId152" Target="https://doi.org/10.1016/j.nicl.2018.02.016" TargetMode="External" /><Relationship Type="http://schemas.openxmlformats.org/officeDocument/2006/relationships/hyperlink" Id="rId117" Target="https://doi.org/10.1016/j.rasd.2011.05.006" TargetMode="External" /><Relationship Type="http://schemas.openxmlformats.org/officeDocument/2006/relationships/hyperlink" Id="rId175" Target="https://doi.org/10.1016/j.trc.2018.02.012" TargetMode="External" /><Relationship Type="http://schemas.openxmlformats.org/officeDocument/2006/relationships/hyperlink" Id="rId131" Target="https://doi.org/10.1016/s0896-6273(01)00552-9" TargetMode="External" /><Relationship Type="http://schemas.openxmlformats.org/officeDocument/2006/relationships/hyperlink" Id="rId165" Target="https://doi.org/10.1016/s1053-8119(03)00230-1" TargetMode="External" /><Relationship Type="http://schemas.openxmlformats.org/officeDocument/2006/relationships/hyperlink" Id="rId177" Target="https://doi.org/10.1037/a0037665" TargetMode="External" /><Relationship Type="http://schemas.openxmlformats.org/officeDocument/2006/relationships/hyperlink" Id="rId187" Target="https://doi.org/10.1038/nmeth.1635" TargetMode="External" /><Relationship Type="http://schemas.openxmlformats.org/officeDocument/2006/relationships/hyperlink" Id="rId199" Target="https://doi.org/10.1038/s41598-018-21716-z" TargetMode="External" /><Relationship Type="http://schemas.openxmlformats.org/officeDocument/2006/relationships/hyperlink" Id="rId110" Target="https://doi.org/10.1080/09638288.2017.1370498" TargetMode="External" /><Relationship Type="http://schemas.openxmlformats.org/officeDocument/2006/relationships/hyperlink" Id="rId138" Target="https://doi.org/10.1080/1063073042000341970" TargetMode="External" /><Relationship Type="http://schemas.openxmlformats.org/officeDocument/2006/relationships/hyperlink" Id="rId142" Target="https://doi.org/10.1088/0031-9155/51/5/N02" TargetMode="External" /><Relationship Type="http://schemas.openxmlformats.org/officeDocument/2006/relationships/hyperlink" Id="rId119" Target="https://doi.org/10.1109/IROS.2016.7759471" TargetMode="External" /><Relationship Type="http://schemas.openxmlformats.org/officeDocument/2006/relationships/hyperlink" Id="rId163" Target="https://doi.org/10.1111/j.1467-9280.2006.01768.x" TargetMode="External" /><Relationship Type="http://schemas.openxmlformats.org/officeDocument/2006/relationships/hyperlink" Id="rId167" Target="https://doi.org/10.1146/annurev-bioeng-071811-150036" TargetMode="External" /><Relationship Type="http://schemas.openxmlformats.org/officeDocument/2006/relationships/hyperlink" Id="rId140" Target="https://doi.org/10.1152/jappl.2001.90.5.1657" TargetMode="External" /><Relationship Type="http://schemas.openxmlformats.org/officeDocument/2006/relationships/hyperlink" Id="rId157" Target="https://doi.org/10.1167/11.11.733" TargetMode="External" /><Relationship Type="http://schemas.openxmlformats.org/officeDocument/2006/relationships/hyperlink" Id="rId127" Target="https://doi.org/10.1177/2158244013497722" TargetMode="External" /><Relationship Type="http://schemas.openxmlformats.org/officeDocument/2006/relationships/hyperlink" Id="rId125" Target="https://doi.org/10.1371/journal.pone.0203765" TargetMode="External" /><Relationship Type="http://schemas.openxmlformats.org/officeDocument/2006/relationships/hyperlink" Id="rId136" Target="https://doi.org/10.1518/0018720054679533" TargetMode="External" /><Relationship Type="http://schemas.openxmlformats.org/officeDocument/2006/relationships/hyperlink" Id="rId197" Target="https://doi.org/10.1523/JNEUROSCI.0223-22.2022" TargetMode="External" /><Relationship Type="http://schemas.openxmlformats.org/officeDocument/2006/relationships/hyperlink" Id="rId114" Target="https://doi.org/10.2307/2025382" TargetMode="External" /><Relationship Type="http://schemas.openxmlformats.org/officeDocument/2006/relationships/hyperlink" Id="rId173" Target="https://doi.org/10.3389/fpsyt.2023.1071181" TargetMode="External" /><Relationship Type="http://schemas.openxmlformats.org/officeDocument/2006/relationships/hyperlink" Id="rId121" Target="https://doi.org/10.3390/bs14020131" TargetMode="External" /><Relationship Type="http://schemas.openxmlformats.org/officeDocument/2006/relationships/hyperlink" Id="rId161" Target="https://doi.org/10.3390/futuretransp4030034" TargetMode="External" /><Relationship Type="http://schemas.openxmlformats.org/officeDocument/2006/relationships/hyperlink" Id="rId144" Target="https://labstreaminglayer.readthedocs.io/" TargetMode="External" /><Relationship Type="http://schemas.openxmlformats.org/officeDocument/2006/relationships/hyperlink" Id="rId21" Target="https://rdos.net/fr/" TargetMode="External" /><Relationship Type="http://schemas.openxmlformats.org/officeDocument/2006/relationships/hyperlink" Id="rId134" Target="https://rootedinrights.org/going-our-own-way-public-transit-accessibility-for-neurodivergent-peopl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 the Gap: How Autistic Pedestrians Interact with Autonomous Vehicles</dc:title>
  <dc:creator/>
  <cp:keywords>human-machine interaction, autism spectrum disorder, self-driving cars, pedestrian safety, eye-tracking, fNIRS</cp:keywords>
  <dcterms:created xsi:type="dcterms:W3CDTF">2025-05-23T01:18:50Z</dcterms:created>
  <dcterms:modified xsi:type="dcterms:W3CDTF">2025-05-23T01:18:50Z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rise of autonomous vehicles (AVs) necessitates a deeper understanding of how diverse populations, particularly those with atypical cognitive profiles, perceive and interact with these systems. This study assessed behavioral, physiological, and neural differences between autistic (ASD) and neurotypical (NT) adults during a 3D simulated road-crossing task involving AVs. Using fNIRS, eye-tracking, and pupillometry, we examined how participants interpreted dynamic AV behavior under three conditions: constant, decreasing, and increasing physical crossing opportunities. Autistic participants showed delayed crossing initiation and higher collision risk, despite similar crossing durations. Gaze patterns were condition-dependent but not group-dependent, and pupil dilation indicated lower baseline arousal in ASD, with a specific increase under dynamic uncertainty. fNIRS revealed decreased frontal activation but elevated temporal and parietal activation in ASD, with significant group divergences in HbO time courses emerging before crossing onset under the VarPlus condition. These comparative findings suggest distinct cognitive processing when interpreting AV behavior in crossing senarios. This study underscores the need for inclusive urban mobility design and highlights potential avenues for tailoring AV communication to accommodate neurodiversity.</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ibliographystyle">
    <vt:lpwstr>apa.csl</vt:lpwstr>
  </property>
  <property fmtid="{D5CDD505-2E9C-101B-9397-08002B2CF9AE}" pid="8" name="by-affiliation">
    <vt:lpwstr/>
  </property>
  <property fmtid="{D5CDD505-2E9C-101B-9397-08002B2CF9AE}" pid="9" name="by-author">
    <vt:lpwstr/>
  </property>
  <property fmtid="{D5CDD505-2E9C-101B-9397-08002B2CF9AE}" pid="10" name="citation">
    <vt:lpwstr/>
  </property>
  <property fmtid="{D5CDD505-2E9C-101B-9397-08002B2CF9AE}" pid="11" name="clear-hidden-classes">
    <vt:lpwstr>none</vt:lpwstr>
  </property>
  <property fmtid="{D5CDD505-2E9C-101B-9397-08002B2CF9AE}" pid="12" name="copyright">
    <vt:lpwstr/>
  </property>
  <property fmtid="{D5CDD505-2E9C-101B-9397-08002B2CF9AE}" pid="13" name="date">
    <vt:lpwstr>2025-05-23</vt:lpwstr>
  </property>
  <property fmtid="{D5CDD505-2E9C-101B-9397-08002B2CF9AE}" pid="14" name="editor">
    <vt:lpwstr>visual</vt:lpwstr>
  </property>
  <property fmtid="{D5CDD505-2E9C-101B-9397-08002B2CF9AE}" pid="15" name="execute">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labels">
    <vt:lpwstr/>
  </property>
  <property fmtid="{D5CDD505-2E9C-101B-9397-08002B2CF9AE}" pid="21" name="license">
    <vt:lpwstr/>
  </property>
  <property fmtid="{D5CDD505-2E9C-101B-9397-08002B2CF9AE}" pid="22" name="lightbox">
    <vt:lpwstr>auto</vt:lpwstr>
  </property>
  <property fmtid="{D5CDD505-2E9C-101B-9397-08002B2CF9AE}" pid="23" name="manuscript">
    <vt:lpwstr/>
  </property>
  <property fmtid="{D5CDD505-2E9C-101B-9397-08002B2CF9AE}" pid="24" name="notebook-preview-options">
    <vt:lpwstr/>
  </property>
  <property fmtid="{D5CDD505-2E9C-101B-9397-08002B2CF9AE}" pid="25" name="quarto-internal">
    <vt:lpwstr/>
  </property>
  <property fmtid="{D5CDD505-2E9C-101B-9397-08002B2CF9AE}" pid="26" name="remove-hidden">
    <vt:lpwstr>all</vt:lpwstr>
  </property>
  <property fmtid="{D5CDD505-2E9C-101B-9397-08002B2CF9AE}" pid="27" name="template-partials">
    <vt:lpwstr/>
  </property>
  <property fmtid="{D5CDD505-2E9C-101B-9397-08002B2CF9AE}" pid="28" name="theme">
    <vt:lpwstr>cosmo</vt:lpwstr>
  </property>
  <property fmtid="{D5CDD505-2E9C-101B-9397-08002B2CF9AE}" pid="29" name="title-block-style">
    <vt:lpwstr>manuscript</vt:lpwstr>
  </property>
  <property fmtid="{D5CDD505-2E9C-101B-9397-08002B2CF9AE}" pid="30" name="toc-title">
    <vt:lpwstr>Table of contents</vt:lpwstr>
  </property>
  <property fmtid="{D5CDD505-2E9C-101B-9397-08002B2CF9AE}" pid="31" name="unroll-markdown-cells">
    <vt:lpwstr>True</vt:lpwstr>
  </property>
</Properties>
</file>